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3BA53" w14:textId="77777777" w:rsidR="00E92375" w:rsidRPr="00B10D7A" w:rsidRDefault="00E92375" w:rsidP="00C41034">
      <w:pPr>
        <w:autoSpaceDE w:val="0"/>
        <w:autoSpaceDN w:val="0"/>
        <w:bidi/>
        <w:adjustRightInd w:val="0"/>
        <w:spacing w:after="0" w:line="276" w:lineRule="auto"/>
        <w:jc w:val="center"/>
        <w:rPr>
          <w:rFonts w:asciiTheme="majorHAnsi" w:hAnsiTheme="majorHAnsi" w:cstheme="majorHAnsi"/>
          <w:b/>
          <w:bCs/>
          <w:color w:val="001432" w:themeColor="text1"/>
          <w:sz w:val="44"/>
          <w:szCs w:val="44"/>
          <w:rtl/>
          <w:lang w:val="en-US"/>
        </w:rPr>
      </w:pPr>
      <w:bookmarkStart w:id="0" w:name="_Hlk69165021"/>
    </w:p>
    <w:p w14:paraId="41315EB9" w14:textId="790E0863" w:rsidR="00382544" w:rsidRDefault="00E92375" w:rsidP="00A43325">
      <w:pPr>
        <w:autoSpaceDE w:val="0"/>
        <w:autoSpaceDN w:val="0"/>
        <w:adjustRightInd w:val="0"/>
        <w:spacing w:after="0" w:line="276" w:lineRule="auto"/>
        <w:jc w:val="center"/>
        <w:rPr>
          <w:rFonts w:asciiTheme="majorHAnsi" w:hAnsiTheme="majorHAnsi" w:cstheme="majorHAnsi"/>
          <w:b/>
          <w:bCs/>
          <w:color w:val="001432" w:themeColor="text1"/>
          <w:sz w:val="40"/>
          <w:szCs w:val="40"/>
        </w:rPr>
      </w:pPr>
      <w:r w:rsidRPr="00CD0867">
        <w:rPr>
          <w:rFonts w:asciiTheme="majorHAnsi" w:hAnsiTheme="majorHAnsi" w:cstheme="majorHAnsi"/>
          <w:b/>
          <w:bCs/>
          <w:color w:val="001432" w:themeColor="text1"/>
          <w:sz w:val="40"/>
          <w:szCs w:val="40"/>
        </w:rPr>
        <w:t xml:space="preserve">IHC Smash Previous Record </w:t>
      </w:r>
      <w:r w:rsidR="00CD0867" w:rsidRPr="00CD0867">
        <w:rPr>
          <w:rFonts w:asciiTheme="majorHAnsi" w:hAnsiTheme="majorHAnsi" w:cstheme="majorHAnsi"/>
          <w:b/>
          <w:bCs/>
          <w:color w:val="001432" w:themeColor="text1"/>
          <w:sz w:val="40"/>
          <w:szCs w:val="40"/>
        </w:rPr>
        <w:t>Reporting</w:t>
      </w:r>
      <w:r w:rsidRPr="00CD0867">
        <w:rPr>
          <w:rFonts w:asciiTheme="majorHAnsi" w:hAnsiTheme="majorHAnsi" w:cstheme="majorHAnsi"/>
          <w:b/>
          <w:bCs/>
          <w:color w:val="001432" w:themeColor="text1"/>
          <w:sz w:val="40"/>
          <w:szCs w:val="40"/>
        </w:rPr>
        <w:t xml:space="preserve"> </w:t>
      </w:r>
      <w:r w:rsidR="00382544">
        <w:rPr>
          <w:rFonts w:asciiTheme="majorHAnsi" w:hAnsiTheme="majorHAnsi" w:cstheme="majorHAnsi"/>
          <w:b/>
          <w:bCs/>
          <w:color w:val="001432" w:themeColor="text1"/>
          <w:sz w:val="40"/>
          <w:szCs w:val="40"/>
        </w:rPr>
        <w:t>Over</w:t>
      </w:r>
    </w:p>
    <w:p w14:paraId="581FA8EF" w14:textId="628080B3" w:rsidR="00A43325" w:rsidRPr="00CD0867" w:rsidRDefault="00CD0867" w:rsidP="00A43325">
      <w:pPr>
        <w:autoSpaceDE w:val="0"/>
        <w:autoSpaceDN w:val="0"/>
        <w:adjustRightInd w:val="0"/>
        <w:spacing w:after="0" w:line="276" w:lineRule="auto"/>
        <w:jc w:val="center"/>
        <w:rPr>
          <w:rFonts w:asciiTheme="majorHAnsi" w:hAnsiTheme="majorHAnsi" w:cstheme="majorHAnsi"/>
          <w:b/>
          <w:bCs/>
          <w:color w:val="001432" w:themeColor="text1"/>
          <w:sz w:val="40"/>
          <w:szCs w:val="40"/>
        </w:rPr>
      </w:pPr>
      <w:r w:rsidRPr="00CD0867">
        <w:rPr>
          <w:rFonts w:asciiTheme="majorHAnsi" w:hAnsiTheme="majorHAnsi" w:cstheme="majorHAnsi"/>
          <w:b/>
          <w:bCs/>
          <w:color w:val="001432" w:themeColor="text1"/>
          <w:sz w:val="40"/>
          <w:szCs w:val="40"/>
        </w:rPr>
        <w:t xml:space="preserve"> AED 10</w:t>
      </w:r>
      <w:r w:rsidR="00C41034">
        <w:rPr>
          <w:rFonts w:asciiTheme="majorHAnsi" w:hAnsiTheme="majorHAnsi" w:cstheme="majorHAnsi"/>
          <w:b/>
          <w:bCs/>
          <w:color w:val="001432" w:themeColor="text1"/>
          <w:sz w:val="40"/>
          <w:szCs w:val="40"/>
          <w:lang w:val="en-US"/>
        </w:rPr>
        <w:t>.3</w:t>
      </w:r>
      <w:r w:rsidRPr="00CD0867">
        <w:rPr>
          <w:rFonts w:asciiTheme="majorHAnsi" w:hAnsiTheme="majorHAnsi" w:cstheme="majorHAnsi"/>
          <w:b/>
          <w:bCs/>
          <w:color w:val="001432" w:themeColor="text1"/>
          <w:sz w:val="40"/>
          <w:szCs w:val="40"/>
        </w:rPr>
        <w:t xml:space="preserve"> </w:t>
      </w:r>
      <w:proofErr w:type="gramStart"/>
      <w:r w:rsidRPr="00CD0867">
        <w:rPr>
          <w:rFonts w:asciiTheme="majorHAnsi" w:hAnsiTheme="majorHAnsi" w:cstheme="majorHAnsi"/>
          <w:b/>
          <w:bCs/>
          <w:color w:val="001432" w:themeColor="text1"/>
          <w:sz w:val="40"/>
          <w:szCs w:val="40"/>
        </w:rPr>
        <w:t>Billion</w:t>
      </w:r>
      <w:proofErr w:type="gramEnd"/>
      <w:r w:rsidRPr="00CD0867">
        <w:rPr>
          <w:rFonts w:asciiTheme="majorHAnsi" w:hAnsiTheme="majorHAnsi" w:cstheme="majorHAnsi"/>
          <w:b/>
          <w:bCs/>
          <w:color w:val="001432" w:themeColor="text1"/>
          <w:sz w:val="40"/>
          <w:szCs w:val="40"/>
        </w:rPr>
        <w:t xml:space="preserve"> in Net </w:t>
      </w:r>
      <w:r w:rsidR="00E92375" w:rsidRPr="00CD0867">
        <w:rPr>
          <w:rFonts w:asciiTheme="majorHAnsi" w:hAnsiTheme="majorHAnsi" w:cstheme="majorHAnsi"/>
          <w:b/>
          <w:bCs/>
          <w:color w:val="001432" w:themeColor="text1"/>
          <w:sz w:val="40"/>
          <w:szCs w:val="40"/>
        </w:rPr>
        <w:t xml:space="preserve">Profits in </w:t>
      </w:r>
      <w:r w:rsidR="00C71928">
        <w:rPr>
          <w:rFonts w:asciiTheme="majorHAnsi" w:hAnsiTheme="majorHAnsi" w:cstheme="majorHAnsi"/>
          <w:b/>
          <w:bCs/>
          <w:color w:val="001432" w:themeColor="text1"/>
          <w:sz w:val="40"/>
          <w:szCs w:val="40"/>
        </w:rPr>
        <w:t>H1 2022</w:t>
      </w:r>
    </w:p>
    <w:p w14:paraId="6BC76E0B" w14:textId="77777777" w:rsidR="00ED67ED" w:rsidRPr="00644A77" w:rsidRDefault="00ED67ED" w:rsidP="00156FF6">
      <w:pPr>
        <w:autoSpaceDE w:val="0"/>
        <w:autoSpaceDN w:val="0"/>
        <w:adjustRightInd w:val="0"/>
        <w:spacing w:after="0" w:line="276" w:lineRule="auto"/>
        <w:jc w:val="center"/>
        <w:rPr>
          <w:rFonts w:asciiTheme="majorHAnsi" w:hAnsiTheme="majorHAnsi" w:cstheme="majorHAnsi"/>
          <w:color w:val="001432" w:themeColor="text1"/>
          <w:sz w:val="10"/>
          <w:szCs w:val="10"/>
        </w:rPr>
      </w:pPr>
    </w:p>
    <w:p w14:paraId="73AAF61B" w14:textId="10BE73A1" w:rsidR="00341ED1" w:rsidRPr="003A6C61" w:rsidRDefault="002C5A5E" w:rsidP="00385C52">
      <w:pPr>
        <w:pStyle w:val="ListParagraph"/>
        <w:numPr>
          <w:ilvl w:val="0"/>
          <w:numId w:val="4"/>
        </w:numPr>
        <w:spacing w:after="0"/>
        <w:ind w:left="972"/>
        <w:rPr>
          <w:rFonts w:cstheme="minorHAnsi"/>
          <w:b/>
          <w:bCs/>
          <w:color w:val="001432" w:themeColor="text1"/>
          <w:sz w:val="23"/>
          <w:szCs w:val="23"/>
        </w:rPr>
      </w:pPr>
      <w:r w:rsidRPr="00AB05F2">
        <w:rPr>
          <w:rFonts w:cstheme="minorHAnsi"/>
          <w:b/>
          <w:bCs/>
          <w:color w:val="001432" w:themeColor="text1"/>
          <w:sz w:val="23"/>
          <w:szCs w:val="23"/>
        </w:rPr>
        <w:t>S</w:t>
      </w:r>
      <w:r w:rsidR="00341ED1" w:rsidRPr="00AB05F2">
        <w:rPr>
          <w:rFonts w:cstheme="minorHAnsi"/>
          <w:b/>
          <w:bCs/>
          <w:color w:val="001432" w:themeColor="text1"/>
          <w:sz w:val="23"/>
          <w:szCs w:val="23"/>
        </w:rPr>
        <w:t xml:space="preserve">trong result driven primarily by </w:t>
      </w:r>
      <w:r w:rsidR="002A3CC2" w:rsidRPr="00AB05F2">
        <w:rPr>
          <w:rFonts w:cstheme="minorHAnsi"/>
          <w:b/>
          <w:bCs/>
          <w:color w:val="001432" w:themeColor="text1"/>
          <w:sz w:val="23"/>
          <w:szCs w:val="23"/>
        </w:rPr>
        <w:t xml:space="preserve">subsidiary's </w:t>
      </w:r>
      <w:r w:rsidR="00341ED1" w:rsidRPr="00AB05F2">
        <w:rPr>
          <w:rFonts w:cstheme="minorHAnsi"/>
          <w:b/>
          <w:bCs/>
          <w:color w:val="001432" w:themeColor="text1"/>
          <w:sz w:val="23"/>
          <w:szCs w:val="23"/>
        </w:rPr>
        <w:t xml:space="preserve">solid </w:t>
      </w:r>
      <w:r w:rsidR="002A3CC2" w:rsidRPr="00AB05F2">
        <w:rPr>
          <w:rFonts w:cstheme="minorHAnsi"/>
          <w:b/>
          <w:bCs/>
          <w:color w:val="001432" w:themeColor="text1"/>
          <w:sz w:val="23"/>
          <w:szCs w:val="23"/>
        </w:rPr>
        <w:t xml:space="preserve">performance </w:t>
      </w:r>
      <w:r w:rsidR="00BA6B93" w:rsidRPr="00AB05F2">
        <w:rPr>
          <w:rFonts w:cstheme="minorHAnsi"/>
          <w:b/>
          <w:bCs/>
          <w:color w:val="001432" w:themeColor="text1"/>
          <w:sz w:val="23"/>
          <w:szCs w:val="23"/>
        </w:rPr>
        <w:t xml:space="preserve">and </w:t>
      </w:r>
      <w:r w:rsidR="00382544" w:rsidRPr="00AB05F2">
        <w:rPr>
          <w:rFonts w:cstheme="minorHAnsi"/>
          <w:b/>
          <w:bCs/>
          <w:color w:val="001432" w:themeColor="text1"/>
          <w:sz w:val="23"/>
          <w:szCs w:val="23"/>
        </w:rPr>
        <w:t xml:space="preserve">profitable </w:t>
      </w:r>
      <w:r w:rsidR="00341ED1" w:rsidRPr="00AB05F2">
        <w:rPr>
          <w:rFonts w:cstheme="minorHAnsi"/>
          <w:b/>
          <w:bCs/>
          <w:color w:val="001432" w:themeColor="text1"/>
          <w:sz w:val="23"/>
          <w:szCs w:val="23"/>
        </w:rPr>
        <w:t xml:space="preserve">business </w:t>
      </w:r>
      <w:r w:rsidR="00AA36BC" w:rsidRPr="00AA36BC">
        <w:rPr>
          <w:rFonts w:cstheme="minorHAnsi"/>
          <w:b/>
          <w:bCs/>
          <w:color w:val="001432" w:themeColor="text1"/>
          <w:sz w:val="23"/>
          <w:szCs w:val="23"/>
        </w:rPr>
        <w:t xml:space="preserve">acquisitions </w:t>
      </w:r>
      <w:r w:rsidR="00341ED1" w:rsidRPr="00AB05F2">
        <w:rPr>
          <w:rFonts w:cstheme="minorHAnsi"/>
          <w:b/>
          <w:bCs/>
          <w:color w:val="001432" w:themeColor="text1"/>
          <w:sz w:val="23"/>
          <w:szCs w:val="23"/>
        </w:rPr>
        <w:t xml:space="preserve">in </w:t>
      </w:r>
      <w:r w:rsidR="00341ED1" w:rsidRPr="003A6C61">
        <w:rPr>
          <w:rFonts w:cstheme="minorHAnsi"/>
          <w:b/>
          <w:bCs/>
          <w:color w:val="001432" w:themeColor="text1"/>
          <w:sz w:val="23"/>
          <w:szCs w:val="23"/>
        </w:rPr>
        <w:t xml:space="preserve">first half 2022.   </w:t>
      </w:r>
    </w:p>
    <w:p w14:paraId="3E99EAA9" w14:textId="79A2097E" w:rsidR="00341ED1" w:rsidRPr="003A6C61" w:rsidRDefault="00F21B33" w:rsidP="00341ED1">
      <w:pPr>
        <w:pStyle w:val="ListParagraph"/>
        <w:numPr>
          <w:ilvl w:val="0"/>
          <w:numId w:val="4"/>
        </w:numPr>
        <w:spacing w:after="0"/>
        <w:ind w:left="972"/>
        <w:rPr>
          <w:rFonts w:cstheme="minorHAnsi"/>
          <w:b/>
          <w:bCs/>
          <w:color w:val="001432" w:themeColor="text1"/>
          <w:sz w:val="22"/>
          <w:szCs w:val="22"/>
        </w:rPr>
      </w:pPr>
      <w:r>
        <w:rPr>
          <w:rFonts w:cstheme="minorHAnsi"/>
          <w:b/>
          <w:bCs/>
          <w:color w:val="001432" w:themeColor="text1"/>
          <w:sz w:val="22"/>
          <w:szCs w:val="22"/>
        </w:rPr>
        <w:t xml:space="preserve">H1 </w:t>
      </w:r>
      <w:r w:rsidR="00341ED1" w:rsidRPr="003A6C61">
        <w:rPr>
          <w:rFonts w:cstheme="minorHAnsi"/>
          <w:b/>
          <w:bCs/>
          <w:color w:val="001432" w:themeColor="text1"/>
          <w:sz w:val="22"/>
          <w:szCs w:val="22"/>
        </w:rPr>
        <w:t xml:space="preserve">total </w:t>
      </w:r>
      <w:r w:rsidR="002C5A5E" w:rsidRPr="003A6C61">
        <w:rPr>
          <w:rFonts w:cstheme="minorHAnsi"/>
          <w:b/>
          <w:bCs/>
          <w:color w:val="001432" w:themeColor="text1"/>
          <w:sz w:val="22"/>
          <w:szCs w:val="22"/>
        </w:rPr>
        <w:t xml:space="preserve">revenue touched AED </w:t>
      </w:r>
      <w:r w:rsidR="003F59C5" w:rsidRPr="003A6C61">
        <w:rPr>
          <w:rFonts w:cstheme="minorHAnsi"/>
          <w:b/>
          <w:bCs/>
          <w:color w:val="001432" w:themeColor="text1"/>
          <w:sz w:val="22"/>
          <w:szCs w:val="22"/>
        </w:rPr>
        <w:t>21.93</w:t>
      </w:r>
      <w:r w:rsidR="00EB1718" w:rsidRPr="003A6C61">
        <w:rPr>
          <w:rFonts w:cstheme="minorHAnsi"/>
          <w:b/>
          <w:bCs/>
          <w:color w:val="001432" w:themeColor="text1"/>
          <w:sz w:val="22"/>
          <w:szCs w:val="22"/>
        </w:rPr>
        <w:t xml:space="preserve"> billion</w:t>
      </w:r>
      <w:r w:rsidR="00341ED1" w:rsidRPr="003A6C61">
        <w:rPr>
          <w:rFonts w:cstheme="minorHAnsi"/>
          <w:b/>
          <w:bCs/>
          <w:color w:val="001432" w:themeColor="text1"/>
          <w:sz w:val="22"/>
          <w:szCs w:val="22"/>
        </w:rPr>
        <w:t xml:space="preserve">, an increase of </w:t>
      </w:r>
      <w:r w:rsidR="005A47ED" w:rsidRPr="003A6C61">
        <w:rPr>
          <w:rFonts w:cstheme="minorHAnsi"/>
          <w:b/>
          <w:bCs/>
          <w:color w:val="001432" w:themeColor="text1"/>
          <w:sz w:val="22"/>
          <w:szCs w:val="22"/>
        </w:rPr>
        <w:t>121</w:t>
      </w:r>
      <w:r w:rsidR="00341ED1" w:rsidRPr="003A6C61">
        <w:rPr>
          <w:rFonts w:cstheme="minorHAnsi"/>
          <w:b/>
          <w:bCs/>
          <w:color w:val="001432" w:themeColor="text1"/>
          <w:sz w:val="22"/>
          <w:szCs w:val="22"/>
        </w:rPr>
        <w:t xml:space="preserve">% </w:t>
      </w:r>
      <w:r w:rsidR="005A47ED" w:rsidRPr="003A6C61">
        <w:rPr>
          <w:rFonts w:cstheme="minorHAnsi"/>
          <w:b/>
          <w:bCs/>
          <w:color w:val="001432" w:themeColor="text1"/>
          <w:sz w:val="22"/>
          <w:szCs w:val="22"/>
        </w:rPr>
        <w:t>as compared to June 2021</w:t>
      </w:r>
      <w:r w:rsidR="002C5A5E" w:rsidRPr="003A6C61">
        <w:rPr>
          <w:rFonts w:cstheme="minorHAnsi"/>
          <w:b/>
          <w:bCs/>
          <w:color w:val="001432" w:themeColor="text1"/>
          <w:sz w:val="22"/>
          <w:szCs w:val="22"/>
        </w:rPr>
        <w:t>.</w:t>
      </w:r>
    </w:p>
    <w:p w14:paraId="1A515AFF" w14:textId="20C62313" w:rsidR="006B2C0F" w:rsidRPr="003A6C61" w:rsidRDefault="00A43325" w:rsidP="00385C52">
      <w:pPr>
        <w:pStyle w:val="ListParagraph"/>
        <w:numPr>
          <w:ilvl w:val="0"/>
          <w:numId w:val="4"/>
        </w:numPr>
        <w:spacing w:after="0"/>
        <w:ind w:left="972"/>
        <w:rPr>
          <w:rFonts w:cstheme="minorHAnsi"/>
          <w:b/>
          <w:bCs/>
          <w:color w:val="001432" w:themeColor="text1"/>
          <w:sz w:val="22"/>
          <w:szCs w:val="22"/>
        </w:rPr>
      </w:pPr>
      <w:r w:rsidRPr="003A6C61">
        <w:rPr>
          <w:rFonts w:cstheme="minorHAnsi"/>
          <w:b/>
          <w:bCs/>
          <w:color w:val="001432" w:themeColor="text1"/>
          <w:sz w:val="22"/>
          <w:szCs w:val="22"/>
        </w:rPr>
        <w:t xml:space="preserve">IHC </w:t>
      </w:r>
      <w:r w:rsidR="002F1576" w:rsidRPr="003A6C61">
        <w:rPr>
          <w:rFonts w:cstheme="minorHAnsi"/>
          <w:b/>
          <w:bCs/>
          <w:color w:val="001432" w:themeColor="text1"/>
          <w:sz w:val="22"/>
          <w:szCs w:val="22"/>
        </w:rPr>
        <w:t>to</w:t>
      </w:r>
      <w:r w:rsidRPr="003A6C61">
        <w:rPr>
          <w:rFonts w:cstheme="minorHAnsi"/>
          <w:b/>
          <w:bCs/>
          <w:color w:val="001432" w:themeColor="text1"/>
          <w:sz w:val="22"/>
          <w:szCs w:val="22"/>
        </w:rPr>
        <w:t xml:space="preserve"> </w:t>
      </w:r>
      <w:r w:rsidR="00F5142F">
        <w:rPr>
          <w:rFonts w:cstheme="minorHAnsi"/>
          <w:b/>
          <w:bCs/>
          <w:color w:val="001432" w:themeColor="text1"/>
          <w:sz w:val="22"/>
          <w:szCs w:val="22"/>
        </w:rPr>
        <w:t>i</w:t>
      </w:r>
      <w:r w:rsidR="00DD4DE2" w:rsidRPr="003A6C61">
        <w:rPr>
          <w:rFonts w:cstheme="minorHAnsi"/>
          <w:b/>
          <w:bCs/>
          <w:color w:val="001432" w:themeColor="text1"/>
          <w:sz w:val="22"/>
          <w:szCs w:val="22"/>
        </w:rPr>
        <w:t>ncrease</w:t>
      </w:r>
      <w:r w:rsidRPr="003A6C61">
        <w:rPr>
          <w:rFonts w:cstheme="minorHAnsi"/>
          <w:b/>
          <w:bCs/>
          <w:color w:val="001432" w:themeColor="text1"/>
          <w:sz w:val="22"/>
          <w:szCs w:val="22"/>
        </w:rPr>
        <w:t xml:space="preserve"> </w:t>
      </w:r>
      <w:r w:rsidR="00CD0867" w:rsidRPr="003A6C61">
        <w:rPr>
          <w:rFonts w:cstheme="minorHAnsi"/>
          <w:b/>
          <w:bCs/>
          <w:color w:val="001432" w:themeColor="text1"/>
          <w:sz w:val="22"/>
          <w:szCs w:val="22"/>
        </w:rPr>
        <w:t>its g</w:t>
      </w:r>
      <w:r w:rsidR="00DD4DE2" w:rsidRPr="003A6C61">
        <w:rPr>
          <w:rFonts w:cstheme="minorHAnsi"/>
          <w:b/>
          <w:bCs/>
          <w:color w:val="001432" w:themeColor="text1"/>
          <w:sz w:val="22"/>
          <w:szCs w:val="22"/>
        </w:rPr>
        <w:t xml:space="preserve">lobal </w:t>
      </w:r>
      <w:r w:rsidR="00F5142F">
        <w:rPr>
          <w:rFonts w:cstheme="minorHAnsi"/>
          <w:b/>
          <w:bCs/>
          <w:color w:val="001432" w:themeColor="text1"/>
          <w:sz w:val="22"/>
          <w:szCs w:val="22"/>
        </w:rPr>
        <w:t>i</w:t>
      </w:r>
      <w:r w:rsidR="00DD4DE2" w:rsidRPr="003A6C61">
        <w:rPr>
          <w:rFonts w:cstheme="minorHAnsi"/>
          <w:b/>
          <w:bCs/>
          <w:color w:val="001432" w:themeColor="text1"/>
          <w:sz w:val="22"/>
          <w:szCs w:val="22"/>
        </w:rPr>
        <w:t>nvestment</w:t>
      </w:r>
      <w:r w:rsidR="00F5142F">
        <w:rPr>
          <w:rFonts w:cstheme="minorHAnsi"/>
          <w:b/>
          <w:bCs/>
          <w:color w:val="001432" w:themeColor="text1"/>
          <w:sz w:val="22"/>
          <w:szCs w:val="22"/>
        </w:rPr>
        <w:t>s</w:t>
      </w:r>
      <w:r w:rsidR="00DD4DE2" w:rsidRPr="003A6C61">
        <w:rPr>
          <w:rFonts w:cstheme="minorHAnsi"/>
          <w:b/>
          <w:bCs/>
          <w:color w:val="001432" w:themeColor="text1"/>
          <w:sz w:val="22"/>
          <w:szCs w:val="22"/>
        </w:rPr>
        <w:t xml:space="preserve"> in 2</w:t>
      </w:r>
      <w:r w:rsidR="00DD4DE2" w:rsidRPr="003A6C61">
        <w:rPr>
          <w:rFonts w:cstheme="minorHAnsi"/>
          <w:b/>
          <w:bCs/>
          <w:color w:val="001432" w:themeColor="text1"/>
          <w:sz w:val="22"/>
          <w:szCs w:val="22"/>
          <w:vertAlign w:val="superscript"/>
        </w:rPr>
        <w:t>nd</w:t>
      </w:r>
      <w:r w:rsidR="00DD4DE2" w:rsidRPr="003A6C61">
        <w:rPr>
          <w:rFonts w:cstheme="minorHAnsi"/>
          <w:b/>
          <w:bCs/>
          <w:color w:val="001432" w:themeColor="text1"/>
          <w:sz w:val="22"/>
          <w:szCs w:val="22"/>
        </w:rPr>
        <w:t xml:space="preserve"> </w:t>
      </w:r>
      <w:r w:rsidR="00CD0867" w:rsidRPr="003A6C61">
        <w:rPr>
          <w:rFonts w:cstheme="minorHAnsi"/>
          <w:b/>
          <w:bCs/>
          <w:color w:val="001432" w:themeColor="text1"/>
          <w:sz w:val="22"/>
          <w:szCs w:val="22"/>
        </w:rPr>
        <w:t>h</w:t>
      </w:r>
      <w:r w:rsidR="00DD4DE2" w:rsidRPr="003A6C61">
        <w:rPr>
          <w:rFonts w:cstheme="minorHAnsi"/>
          <w:b/>
          <w:bCs/>
          <w:color w:val="001432" w:themeColor="text1"/>
          <w:sz w:val="22"/>
          <w:szCs w:val="22"/>
        </w:rPr>
        <w:t xml:space="preserve">alf of 2022 </w:t>
      </w:r>
      <w:r w:rsidR="00CD0867" w:rsidRPr="003A6C61">
        <w:rPr>
          <w:rFonts w:cstheme="minorHAnsi"/>
          <w:b/>
          <w:bCs/>
          <w:color w:val="001432" w:themeColor="text1"/>
          <w:sz w:val="22"/>
          <w:szCs w:val="22"/>
        </w:rPr>
        <w:t>through</w:t>
      </w:r>
      <w:r w:rsidR="00DD4DE2" w:rsidRPr="003A6C61">
        <w:rPr>
          <w:rFonts w:cstheme="minorHAnsi"/>
          <w:b/>
          <w:bCs/>
          <w:color w:val="001432" w:themeColor="text1"/>
          <w:sz w:val="22"/>
          <w:szCs w:val="22"/>
        </w:rPr>
        <w:t xml:space="preserve"> </w:t>
      </w:r>
      <w:r w:rsidR="00DA56BE" w:rsidRPr="003A6C61">
        <w:rPr>
          <w:rFonts w:cstheme="minorHAnsi"/>
          <w:b/>
          <w:bCs/>
          <w:color w:val="001432" w:themeColor="text1"/>
          <w:sz w:val="22"/>
          <w:szCs w:val="22"/>
        </w:rPr>
        <w:t xml:space="preserve">mega </w:t>
      </w:r>
      <w:r w:rsidR="00CD0867" w:rsidRPr="003A6C61">
        <w:rPr>
          <w:rFonts w:cstheme="minorHAnsi"/>
          <w:b/>
          <w:bCs/>
          <w:color w:val="001432" w:themeColor="text1"/>
          <w:sz w:val="22"/>
          <w:szCs w:val="22"/>
        </w:rPr>
        <w:t>d</w:t>
      </w:r>
      <w:r w:rsidR="00DD4DE2" w:rsidRPr="003A6C61">
        <w:rPr>
          <w:rFonts w:cstheme="minorHAnsi"/>
          <w:b/>
          <w:bCs/>
          <w:color w:val="001432" w:themeColor="text1"/>
          <w:sz w:val="22"/>
          <w:szCs w:val="22"/>
        </w:rPr>
        <w:t>eal</w:t>
      </w:r>
      <w:r w:rsidR="00CD0867" w:rsidRPr="003A6C61">
        <w:rPr>
          <w:rFonts w:cstheme="minorHAnsi"/>
          <w:b/>
          <w:bCs/>
          <w:color w:val="001432" w:themeColor="text1"/>
          <w:sz w:val="22"/>
          <w:szCs w:val="22"/>
        </w:rPr>
        <w:t>s</w:t>
      </w:r>
      <w:r w:rsidR="002F1576" w:rsidRPr="003A6C61">
        <w:rPr>
          <w:rFonts w:cstheme="minorHAnsi"/>
          <w:b/>
          <w:bCs/>
          <w:color w:val="001432" w:themeColor="text1"/>
          <w:sz w:val="22"/>
          <w:szCs w:val="22"/>
        </w:rPr>
        <w:t xml:space="preserve"> and acquisitions. </w:t>
      </w:r>
      <w:r w:rsidRPr="003A6C61">
        <w:rPr>
          <w:rFonts w:cstheme="minorHAnsi"/>
          <w:b/>
          <w:bCs/>
          <w:color w:val="001432" w:themeColor="text1"/>
          <w:sz w:val="22"/>
          <w:szCs w:val="22"/>
        </w:rPr>
        <w:t xml:space="preserve">  </w:t>
      </w:r>
    </w:p>
    <w:p w14:paraId="1AD6C4B3" w14:textId="77777777" w:rsidR="000E6129" w:rsidRPr="003A6C61" w:rsidRDefault="000E6129" w:rsidP="000E6129">
      <w:pPr>
        <w:autoSpaceDE w:val="0"/>
        <w:autoSpaceDN w:val="0"/>
        <w:adjustRightInd w:val="0"/>
        <w:spacing w:after="0" w:line="276" w:lineRule="auto"/>
        <w:jc w:val="both"/>
        <w:rPr>
          <w:rFonts w:cstheme="minorHAnsi"/>
          <w:color w:val="001432" w:themeColor="text1"/>
          <w:sz w:val="24"/>
          <w:szCs w:val="24"/>
        </w:rPr>
      </w:pPr>
    </w:p>
    <w:p w14:paraId="7EB4BECC" w14:textId="619DD321" w:rsidR="00FD6488" w:rsidRPr="003A6C61" w:rsidRDefault="000E6129" w:rsidP="0078150A">
      <w:pPr>
        <w:spacing w:after="0"/>
        <w:rPr>
          <w:rFonts w:eastAsia="Times New Roman" w:cstheme="minorHAnsi"/>
          <w:sz w:val="24"/>
          <w:szCs w:val="24"/>
          <w:lang w:val="en-AE"/>
        </w:rPr>
      </w:pPr>
      <w:r w:rsidRPr="003A6C61">
        <w:rPr>
          <w:rFonts w:cstheme="minorHAnsi"/>
          <w:b/>
          <w:bCs/>
          <w:color w:val="001432" w:themeColor="text1"/>
          <w:sz w:val="24"/>
          <w:szCs w:val="24"/>
        </w:rPr>
        <w:t xml:space="preserve">Abu Dhabi, UAE; </w:t>
      </w:r>
      <w:r w:rsidR="00CC67B3" w:rsidRPr="003A6C61">
        <w:rPr>
          <w:rFonts w:cstheme="minorHAnsi"/>
          <w:b/>
          <w:bCs/>
          <w:color w:val="001432" w:themeColor="text1"/>
          <w:sz w:val="24"/>
          <w:szCs w:val="24"/>
        </w:rPr>
        <w:t>08 August</w:t>
      </w:r>
      <w:r w:rsidRPr="003A6C61">
        <w:rPr>
          <w:rFonts w:cstheme="minorHAnsi"/>
          <w:b/>
          <w:bCs/>
          <w:color w:val="001432" w:themeColor="text1"/>
          <w:sz w:val="24"/>
          <w:szCs w:val="24"/>
        </w:rPr>
        <w:t xml:space="preserve"> </w:t>
      </w:r>
      <w:r w:rsidRPr="003A6C61">
        <w:rPr>
          <w:rFonts w:cstheme="minorHAnsi"/>
          <w:b/>
          <w:bCs/>
          <w:color w:val="001432" w:themeColor="text1"/>
          <w:sz w:val="24"/>
          <w:szCs w:val="24"/>
          <w:rtl/>
        </w:rPr>
        <w:t>202</w:t>
      </w:r>
      <w:r w:rsidR="002953E3" w:rsidRPr="003A6C61">
        <w:rPr>
          <w:rFonts w:cstheme="minorHAnsi"/>
          <w:b/>
          <w:bCs/>
          <w:color w:val="001432" w:themeColor="text1"/>
          <w:sz w:val="24"/>
          <w:szCs w:val="24"/>
        </w:rPr>
        <w:t>2</w:t>
      </w:r>
      <w:r w:rsidRPr="003A6C61">
        <w:rPr>
          <w:rFonts w:cstheme="minorHAnsi"/>
          <w:color w:val="001432" w:themeColor="text1"/>
          <w:sz w:val="24"/>
          <w:szCs w:val="24"/>
        </w:rPr>
        <w:t xml:space="preserve">: </w:t>
      </w:r>
      <w:r w:rsidR="0078150A" w:rsidRPr="003A6C61">
        <w:rPr>
          <w:rFonts w:eastAsia="Times New Roman" w:cstheme="minorHAnsi"/>
          <w:color w:val="000000"/>
          <w:sz w:val="24"/>
          <w:szCs w:val="24"/>
          <w:lang w:val="en-AE"/>
        </w:rPr>
        <w:t> International Holding Company PJSC (ADX: IHC), a diversified Abu Dhabi-based conglomerate</w:t>
      </w:r>
      <w:r w:rsidR="0078150A" w:rsidRPr="003A6C61">
        <w:rPr>
          <w:rFonts w:eastAsia="Times New Roman" w:cstheme="minorHAnsi"/>
          <w:sz w:val="24"/>
          <w:szCs w:val="24"/>
          <w:lang w:val="en-US"/>
        </w:rPr>
        <w:t xml:space="preserve">, </w:t>
      </w:r>
      <w:r w:rsidR="008C2514" w:rsidRPr="003A6C61">
        <w:rPr>
          <w:rFonts w:cstheme="minorHAnsi"/>
          <w:color w:val="001432" w:themeColor="text1"/>
          <w:sz w:val="24"/>
          <w:szCs w:val="24"/>
          <w:lang w:val="en-US"/>
        </w:rPr>
        <w:t xml:space="preserve">has posted new record </w:t>
      </w:r>
      <w:r w:rsidR="00AA36BC" w:rsidRPr="003A6C61">
        <w:rPr>
          <w:rFonts w:cstheme="minorHAnsi"/>
          <w:color w:val="001432" w:themeColor="text1"/>
          <w:sz w:val="24"/>
          <w:szCs w:val="24"/>
          <w:lang w:val="en-US"/>
        </w:rPr>
        <w:t>P</w:t>
      </w:r>
      <w:r w:rsidR="008C2514" w:rsidRPr="003A6C61">
        <w:rPr>
          <w:rFonts w:cstheme="minorHAnsi"/>
          <w:color w:val="001432" w:themeColor="text1"/>
          <w:sz w:val="24"/>
          <w:szCs w:val="24"/>
          <w:lang w:val="en-US"/>
        </w:rPr>
        <w:t>rofit</w:t>
      </w:r>
      <w:r w:rsidR="00AA36BC" w:rsidRPr="003A6C61">
        <w:rPr>
          <w:rFonts w:cstheme="minorHAnsi"/>
          <w:color w:val="001432" w:themeColor="text1"/>
          <w:sz w:val="24"/>
          <w:szCs w:val="24"/>
          <w:lang w:val="en-US"/>
        </w:rPr>
        <w:t>s</w:t>
      </w:r>
      <w:r w:rsidR="008C2514" w:rsidRPr="003A6C61">
        <w:rPr>
          <w:rFonts w:cstheme="minorHAnsi"/>
          <w:color w:val="001432" w:themeColor="text1"/>
          <w:sz w:val="24"/>
          <w:szCs w:val="24"/>
          <w:lang w:val="en-US"/>
        </w:rPr>
        <w:t xml:space="preserve"> in the first half of 2022</w:t>
      </w:r>
      <w:r w:rsidR="00AA36BC" w:rsidRPr="003A6C61">
        <w:rPr>
          <w:rFonts w:cstheme="minorHAnsi"/>
          <w:color w:val="001432" w:themeColor="text1"/>
          <w:sz w:val="24"/>
          <w:szCs w:val="24"/>
          <w:lang w:val="en-US"/>
        </w:rPr>
        <w:t>,</w:t>
      </w:r>
      <w:r w:rsidR="008C2514" w:rsidRPr="003A6C61">
        <w:rPr>
          <w:rFonts w:cstheme="minorHAnsi"/>
          <w:color w:val="001432" w:themeColor="text1"/>
          <w:sz w:val="24"/>
          <w:szCs w:val="24"/>
          <w:lang w:val="en-US"/>
        </w:rPr>
        <w:t xml:space="preserve"> as the company continues its aggressive </w:t>
      </w:r>
      <w:r w:rsidR="00A0138E" w:rsidRPr="003A6C61">
        <w:rPr>
          <w:rFonts w:cstheme="minorHAnsi"/>
          <w:color w:val="001432" w:themeColor="text1"/>
          <w:sz w:val="24"/>
          <w:szCs w:val="24"/>
          <w:lang w:val="en-US"/>
        </w:rPr>
        <w:t xml:space="preserve">investment </w:t>
      </w:r>
      <w:r w:rsidR="008C2514" w:rsidRPr="003A6C61">
        <w:rPr>
          <w:rFonts w:cstheme="minorHAnsi"/>
          <w:color w:val="001432" w:themeColor="text1"/>
          <w:sz w:val="24"/>
          <w:szCs w:val="24"/>
          <w:lang w:val="en-US"/>
        </w:rPr>
        <w:t xml:space="preserve">strategy through a focused, high-conviction approach, </w:t>
      </w:r>
      <w:r w:rsidR="00AA36BC" w:rsidRPr="003A6C61">
        <w:rPr>
          <w:rFonts w:cstheme="minorHAnsi"/>
          <w:color w:val="001432" w:themeColor="text1"/>
          <w:sz w:val="24"/>
          <w:szCs w:val="24"/>
          <w:lang w:val="en-US"/>
        </w:rPr>
        <w:t>targeting</w:t>
      </w:r>
      <w:r w:rsidR="008C2514" w:rsidRPr="003A6C61">
        <w:rPr>
          <w:rFonts w:cstheme="minorHAnsi"/>
          <w:color w:val="001432" w:themeColor="text1"/>
          <w:sz w:val="24"/>
          <w:szCs w:val="24"/>
          <w:lang w:val="en-US"/>
        </w:rPr>
        <w:t xml:space="preserve"> local and international business acquisitions with sustainable earnings and cash flow growth.</w:t>
      </w:r>
    </w:p>
    <w:p w14:paraId="36FD77A2" w14:textId="77777777" w:rsidR="003528CB" w:rsidRPr="003A6C61" w:rsidRDefault="003528CB" w:rsidP="00602895">
      <w:pPr>
        <w:spacing w:after="0"/>
        <w:jc w:val="both"/>
        <w:rPr>
          <w:rFonts w:eastAsia="Times New Roman" w:cstheme="minorHAnsi"/>
          <w:color w:val="0E101A"/>
          <w:sz w:val="24"/>
          <w:szCs w:val="24"/>
          <w:lang w:val="en-AE"/>
        </w:rPr>
      </w:pPr>
    </w:p>
    <w:p w14:paraId="74F762F8" w14:textId="2272C3ED" w:rsidR="006255DB" w:rsidRPr="003A6C61" w:rsidRDefault="003528CB" w:rsidP="00602895">
      <w:pPr>
        <w:spacing w:after="0"/>
        <w:jc w:val="both"/>
        <w:rPr>
          <w:rFonts w:eastAsia="Times New Roman" w:cstheme="minorHAnsi"/>
          <w:color w:val="0E101A"/>
          <w:sz w:val="24"/>
          <w:szCs w:val="24"/>
          <w:lang w:val="en-US"/>
        </w:rPr>
      </w:pPr>
      <w:r w:rsidRPr="003A6C61">
        <w:rPr>
          <w:rFonts w:eastAsia="Times New Roman" w:cstheme="minorHAnsi"/>
          <w:color w:val="0E101A"/>
          <w:sz w:val="24"/>
          <w:szCs w:val="24"/>
          <w:lang w:val="en-AE"/>
        </w:rPr>
        <w:t xml:space="preserve">The solid business performance across all IHC subsidiaries </w:t>
      </w:r>
      <w:r w:rsidRPr="00F5142F">
        <w:rPr>
          <w:rFonts w:eastAsia="Times New Roman" w:cstheme="minorHAnsi"/>
          <w:color w:val="0E101A"/>
          <w:sz w:val="24"/>
          <w:szCs w:val="24"/>
          <w:lang w:val="en-AE"/>
        </w:rPr>
        <w:t>has</w:t>
      </w:r>
      <w:r w:rsidRPr="003A6C61">
        <w:rPr>
          <w:rFonts w:eastAsia="Times New Roman" w:cstheme="minorHAnsi"/>
          <w:color w:val="0E101A"/>
          <w:sz w:val="24"/>
          <w:szCs w:val="24"/>
          <w:lang w:val="en-AE"/>
        </w:rPr>
        <w:t xml:space="preserve"> resulted in a significant strengthening of the conglomerate’s balance sheet</w:t>
      </w:r>
      <w:r w:rsidRPr="003A6C61">
        <w:rPr>
          <w:rFonts w:eastAsia="Times New Roman" w:cstheme="minorHAnsi"/>
          <w:color w:val="0E101A"/>
          <w:sz w:val="24"/>
          <w:szCs w:val="24"/>
          <w:lang w:val="en-US"/>
        </w:rPr>
        <w:t>,</w:t>
      </w:r>
      <w:r w:rsidRPr="003A6C61">
        <w:rPr>
          <w:rFonts w:eastAsia="Times New Roman" w:cstheme="minorHAnsi"/>
          <w:color w:val="0E101A"/>
          <w:sz w:val="24"/>
          <w:szCs w:val="24"/>
          <w:lang w:val="en-AE"/>
        </w:rPr>
        <w:t xml:space="preserve"> as </w:t>
      </w:r>
      <w:r w:rsidR="003B7E20" w:rsidRPr="003A6C61">
        <w:rPr>
          <w:rFonts w:eastAsia="Times New Roman" w:cstheme="minorHAnsi"/>
          <w:color w:val="0E101A"/>
          <w:sz w:val="24"/>
          <w:szCs w:val="24"/>
          <w:lang w:val="en-US"/>
        </w:rPr>
        <w:t>R</w:t>
      </w:r>
      <w:r w:rsidRPr="003A6C61">
        <w:rPr>
          <w:rFonts w:eastAsia="Times New Roman" w:cstheme="minorHAnsi"/>
          <w:color w:val="0E101A"/>
          <w:sz w:val="24"/>
          <w:szCs w:val="24"/>
          <w:lang w:val="en-AE"/>
        </w:rPr>
        <w:t>evenue grew by</w:t>
      </w:r>
      <w:r w:rsidRPr="003A6C61">
        <w:rPr>
          <w:rFonts w:eastAsia="Times New Roman" w:cstheme="minorHAnsi"/>
          <w:color w:val="0E101A"/>
          <w:sz w:val="24"/>
          <w:szCs w:val="24"/>
          <w:lang w:val="en-US"/>
        </w:rPr>
        <w:t xml:space="preserve"> </w:t>
      </w:r>
      <w:r w:rsidR="008058DD" w:rsidRPr="003A6C61">
        <w:rPr>
          <w:rFonts w:eastAsia="Times New Roman" w:cstheme="minorHAnsi"/>
          <w:b/>
          <w:bCs/>
          <w:color w:val="0E101A"/>
          <w:sz w:val="24"/>
          <w:szCs w:val="24"/>
          <w:lang w:val="en-US"/>
        </w:rPr>
        <w:t>121</w:t>
      </w:r>
      <w:r w:rsidR="008058DD" w:rsidRPr="003A6C61">
        <w:rPr>
          <w:rFonts w:eastAsia="Times New Roman" w:cstheme="minorHAnsi"/>
          <w:b/>
          <w:bCs/>
          <w:color w:val="0E101A"/>
          <w:sz w:val="24"/>
          <w:szCs w:val="24"/>
          <w:lang w:val="en-AE"/>
        </w:rPr>
        <w:t xml:space="preserve"> </w:t>
      </w:r>
      <w:r w:rsidRPr="003A6C61">
        <w:rPr>
          <w:rFonts w:eastAsia="Times New Roman" w:cstheme="minorHAnsi"/>
          <w:b/>
          <w:bCs/>
          <w:color w:val="0E101A"/>
          <w:sz w:val="24"/>
          <w:szCs w:val="24"/>
          <w:lang w:val="en-AE"/>
        </w:rPr>
        <w:t>percent</w:t>
      </w:r>
      <w:r w:rsidRPr="003A6C61">
        <w:rPr>
          <w:rFonts w:eastAsia="Times New Roman" w:cstheme="minorHAnsi"/>
          <w:color w:val="0E101A"/>
          <w:sz w:val="24"/>
          <w:szCs w:val="24"/>
          <w:lang w:val="en-AE"/>
        </w:rPr>
        <w:t> to </w:t>
      </w:r>
      <w:r w:rsidRPr="003A6C61">
        <w:rPr>
          <w:rFonts w:eastAsia="Times New Roman" w:cstheme="minorHAnsi"/>
          <w:b/>
          <w:bCs/>
          <w:color w:val="0E101A"/>
          <w:sz w:val="24"/>
          <w:szCs w:val="24"/>
          <w:lang w:val="en-AE"/>
        </w:rPr>
        <w:t xml:space="preserve">AED </w:t>
      </w:r>
      <w:r w:rsidR="008058DD" w:rsidRPr="003A6C61">
        <w:rPr>
          <w:rFonts w:eastAsia="Times New Roman" w:cstheme="minorHAnsi"/>
          <w:b/>
          <w:bCs/>
          <w:color w:val="0E101A"/>
          <w:sz w:val="24"/>
          <w:szCs w:val="24"/>
          <w:lang w:val="en-AE"/>
        </w:rPr>
        <w:t xml:space="preserve">21.93 </w:t>
      </w:r>
      <w:r w:rsidRPr="003A6C61">
        <w:rPr>
          <w:rFonts w:eastAsia="Times New Roman" w:cstheme="minorHAnsi"/>
          <w:b/>
          <w:bCs/>
          <w:color w:val="0E101A"/>
          <w:sz w:val="24"/>
          <w:szCs w:val="24"/>
          <w:lang w:val="en-AE"/>
        </w:rPr>
        <w:t>billion</w:t>
      </w:r>
      <w:r w:rsidRPr="003A6C61">
        <w:rPr>
          <w:rFonts w:eastAsia="Times New Roman" w:cstheme="minorHAnsi"/>
          <w:color w:val="0E101A"/>
          <w:sz w:val="24"/>
          <w:szCs w:val="24"/>
          <w:lang w:val="en-AE"/>
        </w:rPr>
        <w:t xml:space="preserve"> in the first six months of 2022, compared to the same period last year, while </w:t>
      </w:r>
      <w:r w:rsidR="003B7E20" w:rsidRPr="003A6C61">
        <w:rPr>
          <w:rFonts w:eastAsia="Times New Roman" w:cstheme="minorHAnsi"/>
          <w:color w:val="0E101A"/>
          <w:sz w:val="24"/>
          <w:szCs w:val="24"/>
          <w:lang w:val="en-US"/>
        </w:rPr>
        <w:t>N</w:t>
      </w:r>
      <w:r w:rsidRPr="003A6C61">
        <w:rPr>
          <w:rFonts w:eastAsia="Times New Roman" w:cstheme="minorHAnsi"/>
          <w:color w:val="0E101A"/>
          <w:sz w:val="24"/>
          <w:szCs w:val="24"/>
          <w:lang w:val="en-AE"/>
        </w:rPr>
        <w:t xml:space="preserve">et </w:t>
      </w:r>
      <w:r w:rsidR="003B7E20" w:rsidRPr="003A6C61">
        <w:rPr>
          <w:rFonts w:eastAsia="Times New Roman" w:cstheme="minorHAnsi"/>
          <w:color w:val="0E101A"/>
          <w:sz w:val="24"/>
          <w:szCs w:val="24"/>
          <w:lang w:val="en-US"/>
        </w:rPr>
        <w:t>P</w:t>
      </w:r>
      <w:r w:rsidRPr="003A6C61">
        <w:rPr>
          <w:rFonts w:eastAsia="Times New Roman" w:cstheme="minorHAnsi"/>
          <w:color w:val="0E101A"/>
          <w:sz w:val="24"/>
          <w:szCs w:val="24"/>
          <w:lang w:val="en-AE"/>
        </w:rPr>
        <w:t>rofit rose </w:t>
      </w:r>
      <w:r w:rsidR="008058DD" w:rsidRPr="003A6C61">
        <w:rPr>
          <w:rFonts w:eastAsia="Times New Roman" w:cstheme="minorHAnsi"/>
          <w:b/>
          <w:bCs/>
          <w:color w:val="0E101A"/>
          <w:sz w:val="24"/>
          <w:szCs w:val="24"/>
          <w:lang w:val="en-AE"/>
        </w:rPr>
        <w:t xml:space="preserve">137 </w:t>
      </w:r>
      <w:r w:rsidRPr="003A6C61">
        <w:rPr>
          <w:rFonts w:eastAsia="Times New Roman" w:cstheme="minorHAnsi"/>
          <w:b/>
          <w:bCs/>
          <w:color w:val="0E101A"/>
          <w:sz w:val="24"/>
          <w:szCs w:val="24"/>
          <w:lang w:val="en-AE"/>
        </w:rPr>
        <w:t>percent</w:t>
      </w:r>
      <w:r w:rsidRPr="003A6C61">
        <w:rPr>
          <w:rFonts w:eastAsia="Times New Roman" w:cstheme="minorHAnsi"/>
          <w:color w:val="0E101A"/>
          <w:sz w:val="24"/>
          <w:szCs w:val="24"/>
          <w:lang w:val="en-AE"/>
        </w:rPr>
        <w:t> to </w:t>
      </w:r>
      <w:r w:rsidRPr="003A6C61">
        <w:rPr>
          <w:rFonts w:eastAsia="Times New Roman" w:cstheme="minorHAnsi"/>
          <w:b/>
          <w:bCs/>
          <w:color w:val="0E101A"/>
          <w:sz w:val="24"/>
          <w:szCs w:val="24"/>
          <w:lang w:val="en-AE"/>
        </w:rPr>
        <w:t xml:space="preserve">AED </w:t>
      </w:r>
      <w:r w:rsidR="008058DD" w:rsidRPr="003A6C61">
        <w:rPr>
          <w:rFonts w:eastAsia="Times New Roman" w:cstheme="minorHAnsi"/>
          <w:b/>
          <w:bCs/>
          <w:color w:val="0E101A"/>
          <w:sz w:val="24"/>
          <w:szCs w:val="24"/>
          <w:lang w:val="en-AE"/>
        </w:rPr>
        <w:t xml:space="preserve">10.35 </w:t>
      </w:r>
      <w:r w:rsidRPr="003A6C61">
        <w:rPr>
          <w:rFonts w:eastAsia="Times New Roman" w:cstheme="minorHAnsi"/>
          <w:b/>
          <w:bCs/>
          <w:color w:val="0E101A"/>
          <w:sz w:val="24"/>
          <w:szCs w:val="24"/>
          <w:lang w:val="en-AE"/>
        </w:rPr>
        <w:t>billion</w:t>
      </w:r>
      <w:r w:rsidRPr="003A6C61">
        <w:rPr>
          <w:rFonts w:eastAsia="Times New Roman" w:cstheme="minorHAnsi"/>
          <w:color w:val="0E101A"/>
          <w:sz w:val="24"/>
          <w:szCs w:val="24"/>
          <w:lang w:val="en-AE"/>
        </w:rPr>
        <w:t> </w:t>
      </w:r>
      <w:r w:rsidR="007C1FF6" w:rsidRPr="003A6C61">
        <w:rPr>
          <w:rFonts w:eastAsia="Times New Roman" w:cstheme="minorHAnsi"/>
          <w:color w:val="0E101A"/>
          <w:sz w:val="24"/>
          <w:szCs w:val="24"/>
          <w:lang w:val="en-AE"/>
        </w:rPr>
        <w:t>as compared to 1H 2021</w:t>
      </w:r>
      <w:r w:rsidR="006255DB" w:rsidRPr="003A6C61">
        <w:rPr>
          <w:rFonts w:eastAsia="Times New Roman" w:cstheme="minorHAnsi"/>
          <w:color w:val="0E101A"/>
          <w:sz w:val="24"/>
          <w:szCs w:val="24"/>
          <w:lang w:val="en-US"/>
        </w:rPr>
        <w:t>.</w:t>
      </w:r>
    </w:p>
    <w:p w14:paraId="03B3A580" w14:textId="77777777" w:rsidR="006255DB" w:rsidRPr="003A6C61" w:rsidRDefault="006255DB" w:rsidP="00602895">
      <w:pPr>
        <w:spacing w:after="0"/>
        <w:jc w:val="both"/>
        <w:rPr>
          <w:rFonts w:eastAsia="Times New Roman" w:cstheme="minorHAnsi"/>
          <w:color w:val="0E101A"/>
          <w:sz w:val="24"/>
          <w:szCs w:val="24"/>
          <w:lang w:val="en-US"/>
        </w:rPr>
      </w:pPr>
    </w:p>
    <w:p w14:paraId="0F3EDAF8" w14:textId="0A1F0A28" w:rsidR="00707677" w:rsidRPr="003A6C61" w:rsidRDefault="00B754AB" w:rsidP="00602895">
      <w:pPr>
        <w:spacing w:after="0"/>
        <w:jc w:val="both"/>
        <w:rPr>
          <w:rFonts w:eastAsia="Times New Roman" w:cstheme="minorHAnsi"/>
          <w:sz w:val="24"/>
          <w:szCs w:val="24"/>
          <w:lang w:val="en-AE"/>
        </w:rPr>
      </w:pPr>
      <w:r w:rsidRPr="003A6C61">
        <w:rPr>
          <w:rFonts w:eastAsia="Times New Roman" w:cstheme="minorHAnsi"/>
          <w:sz w:val="24"/>
          <w:szCs w:val="24"/>
          <w:lang w:val="en-AE"/>
        </w:rPr>
        <w:t xml:space="preserve">IHC's strategic acquisition of companies in H1 2022 had a positive impact on the </w:t>
      </w:r>
      <w:r w:rsidR="0086197B" w:rsidRPr="003A6C61">
        <w:rPr>
          <w:rFonts w:eastAsia="Times New Roman" w:cstheme="minorHAnsi"/>
          <w:sz w:val="24"/>
          <w:szCs w:val="24"/>
          <w:lang w:val="en-US"/>
        </w:rPr>
        <w:t>organization's</w:t>
      </w:r>
      <w:r w:rsidRPr="003A6C61">
        <w:rPr>
          <w:rFonts w:eastAsia="Times New Roman" w:cstheme="minorHAnsi"/>
          <w:sz w:val="24"/>
          <w:szCs w:val="24"/>
          <w:lang w:val="en-AE"/>
        </w:rPr>
        <w:t xml:space="preserve"> net worth</w:t>
      </w:r>
      <w:r w:rsidR="00F5142F">
        <w:rPr>
          <w:rFonts w:eastAsia="Times New Roman" w:cstheme="minorHAnsi"/>
          <w:sz w:val="24"/>
          <w:szCs w:val="24"/>
          <w:lang w:val="en-US"/>
        </w:rPr>
        <w:t>,</w:t>
      </w:r>
      <w:r w:rsidRPr="003A6C61">
        <w:rPr>
          <w:rFonts w:eastAsia="Times New Roman" w:cstheme="minorHAnsi"/>
          <w:sz w:val="24"/>
          <w:szCs w:val="24"/>
          <w:lang w:val="en-AE"/>
        </w:rPr>
        <w:t xml:space="preserve"> as the </w:t>
      </w:r>
      <w:r w:rsidR="003B7E20" w:rsidRPr="003A6C61">
        <w:rPr>
          <w:rFonts w:eastAsia="Times New Roman" w:cstheme="minorHAnsi"/>
          <w:sz w:val="24"/>
          <w:szCs w:val="24"/>
          <w:lang w:val="en-US"/>
        </w:rPr>
        <w:t>T</w:t>
      </w:r>
      <w:r w:rsidRPr="003A6C61">
        <w:rPr>
          <w:rFonts w:eastAsia="Times New Roman" w:cstheme="minorHAnsi"/>
          <w:sz w:val="24"/>
          <w:szCs w:val="24"/>
          <w:lang w:val="en-AE"/>
        </w:rPr>
        <w:t xml:space="preserve">otal </w:t>
      </w:r>
      <w:r w:rsidR="003B7E20" w:rsidRPr="003A6C61">
        <w:rPr>
          <w:rFonts w:eastAsia="Times New Roman" w:cstheme="minorHAnsi"/>
          <w:sz w:val="24"/>
          <w:szCs w:val="24"/>
          <w:lang w:val="en-US"/>
        </w:rPr>
        <w:t>A</w:t>
      </w:r>
      <w:r w:rsidRPr="003A6C61">
        <w:rPr>
          <w:rFonts w:eastAsia="Times New Roman" w:cstheme="minorHAnsi"/>
          <w:sz w:val="24"/>
          <w:szCs w:val="24"/>
          <w:lang w:val="en-AE"/>
        </w:rPr>
        <w:t>ssets exceeded the company liabilities increasing from </w:t>
      </w:r>
      <w:r w:rsidRPr="003A6C61">
        <w:rPr>
          <w:rFonts w:eastAsia="Times New Roman" w:cstheme="minorHAnsi"/>
          <w:b/>
          <w:bCs/>
          <w:color w:val="0E101A"/>
          <w:sz w:val="24"/>
          <w:szCs w:val="24"/>
          <w:lang w:val="en-AE"/>
        </w:rPr>
        <w:t xml:space="preserve">AED </w:t>
      </w:r>
      <w:r w:rsidR="00CC67B3" w:rsidRPr="003A6C61">
        <w:rPr>
          <w:rFonts w:eastAsia="Times New Roman" w:cstheme="minorHAnsi"/>
          <w:b/>
          <w:bCs/>
          <w:color w:val="0E101A"/>
          <w:sz w:val="24"/>
          <w:szCs w:val="24"/>
          <w:lang w:val="en-US"/>
        </w:rPr>
        <w:t>88.9</w:t>
      </w:r>
      <w:r w:rsidR="007226F0" w:rsidRPr="003A6C61">
        <w:rPr>
          <w:rFonts w:eastAsia="Times New Roman" w:cstheme="minorHAnsi"/>
          <w:b/>
          <w:bCs/>
          <w:color w:val="0E101A"/>
          <w:sz w:val="24"/>
          <w:szCs w:val="24"/>
          <w:lang w:val="en-US"/>
        </w:rPr>
        <w:t>8</w:t>
      </w:r>
      <w:r w:rsidRPr="003A6C61">
        <w:rPr>
          <w:rFonts w:eastAsia="Times New Roman" w:cstheme="minorHAnsi"/>
          <w:b/>
          <w:bCs/>
          <w:color w:val="0E101A"/>
          <w:sz w:val="24"/>
          <w:szCs w:val="24"/>
          <w:lang w:val="en-AE"/>
        </w:rPr>
        <w:t xml:space="preserve"> billion</w:t>
      </w:r>
      <w:r w:rsidRPr="003A6C61">
        <w:rPr>
          <w:rFonts w:eastAsia="Times New Roman" w:cstheme="minorHAnsi"/>
          <w:sz w:val="24"/>
          <w:szCs w:val="24"/>
          <w:lang w:val="en-AE"/>
        </w:rPr>
        <w:t> by the end of December 31, 202</w:t>
      </w:r>
      <w:r w:rsidR="00F21B33">
        <w:rPr>
          <w:rFonts w:eastAsia="Times New Roman" w:cstheme="minorHAnsi"/>
          <w:sz w:val="24"/>
          <w:szCs w:val="24"/>
          <w:lang w:val="en-US"/>
        </w:rPr>
        <w:t>1</w:t>
      </w:r>
      <w:r w:rsidRPr="003A6C61">
        <w:rPr>
          <w:rFonts w:eastAsia="Times New Roman" w:cstheme="minorHAnsi"/>
          <w:sz w:val="24"/>
          <w:szCs w:val="24"/>
          <w:lang w:val="en-AE"/>
        </w:rPr>
        <w:t>, to </w:t>
      </w:r>
      <w:r w:rsidRPr="003A6C61">
        <w:rPr>
          <w:rFonts w:eastAsia="Times New Roman" w:cstheme="minorHAnsi"/>
          <w:b/>
          <w:bCs/>
          <w:color w:val="0E101A"/>
          <w:sz w:val="24"/>
          <w:szCs w:val="24"/>
          <w:lang w:val="en-AE"/>
        </w:rPr>
        <w:t xml:space="preserve">AED </w:t>
      </w:r>
      <w:r w:rsidR="00CC67B3" w:rsidRPr="003A6C61">
        <w:rPr>
          <w:rFonts w:eastAsia="Times New Roman" w:cstheme="minorHAnsi"/>
          <w:b/>
          <w:bCs/>
          <w:color w:val="0E101A"/>
          <w:sz w:val="24"/>
          <w:szCs w:val="24"/>
          <w:lang w:val="en-US"/>
        </w:rPr>
        <w:t>163.6</w:t>
      </w:r>
      <w:r w:rsidR="007226F0" w:rsidRPr="003A6C61">
        <w:rPr>
          <w:rFonts w:eastAsia="Times New Roman" w:cstheme="minorHAnsi"/>
          <w:b/>
          <w:bCs/>
          <w:color w:val="0E101A"/>
          <w:sz w:val="24"/>
          <w:szCs w:val="24"/>
          <w:lang w:val="en-US"/>
        </w:rPr>
        <w:t>9</w:t>
      </w:r>
      <w:r w:rsidRPr="003A6C61">
        <w:rPr>
          <w:rFonts w:eastAsia="Times New Roman" w:cstheme="minorHAnsi"/>
          <w:b/>
          <w:bCs/>
          <w:color w:val="0E101A"/>
          <w:sz w:val="24"/>
          <w:szCs w:val="24"/>
          <w:lang w:val="en-AE"/>
        </w:rPr>
        <w:t xml:space="preserve"> billion</w:t>
      </w:r>
      <w:r w:rsidRPr="003A6C61">
        <w:rPr>
          <w:rFonts w:eastAsia="Times New Roman" w:cstheme="minorHAnsi"/>
          <w:sz w:val="24"/>
          <w:szCs w:val="24"/>
          <w:lang w:val="en-AE"/>
        </w:rPr>
        <w:t> at the end of June 30, 2022– an immense </w:t>
      </w:r>
      <w:r w:rsidR="00CC67B3" w:rsidRPr="003A6C61">
        <w:rPr>
          <w:rFonts w:eastAsia="Times New Roman" w:cstheme="minorHAnsi"/>
          <w:b/>
          <w:bCs/>
          <w:color w:val="0E101A"/>
          <w:sz w:val="24"/>
          <w:szCs w:val="24"/>
          <w:lang w:val="en-US"/>
        </w:rPr>
        <w:t>84</w:t>
      </w:r>
      <w:r w:rsidRPr="003A6C61">
        <w:rPr>
          <w:rFonts w:eastAsia="Times New Roman" w:cstheme="minorHAnsi"/>
          <w:b/>
          <w:bCs/>
          <w:color w:val="0E101A"/>
          <w:sz w:val="24"/>
          <w:szCs w:val="24"/>
          <w:lang w:val="en-AE"/>
        </w:rPr>
        <w:t xml:space="preserve"> percent</w:t>
      </w:r>
      <w:r w:rsidRPr="003A6C61">
        <w:rPr>
          <w:rFonts w:eastAsia="Times New Roman" w:cstheme="minorHAnsi"/>
          <w:sz w:val="24"/>
          <w:szCs w:val="24"/>
          <w:lang w:val="en-AE"/>
        </w:rPr>
        <w:t> growth.   </w:t>
      </w:r>
    </w:p>
    <w:p w14:paraId="27D73977" w14:textId="022F6828" w:rsidR="0086197B" w:rsidRPr="003A6C61" w:rsidRDefault="0086197B" w:rsidP="00602895">
      <w:pPr>
        <w:spacing w:after="0"/>
        <w:jc w:val="both"/>
        <w:rPr>
          <w:rFonts w:eastAsia="Times New Roman" w:cstheme="minorHAnsi"/>
          <w:sz w:val="24"/>
          <w:szCs w:val="24"/>
          <w:lang w:val="en-AE"/>
        </w:rPr>
      </w:pPr>
    </w:p>
    <w:p w14:paraId="47DDC2DB" w14:textId="31B17303" w:rsidR="00503E11" w:rsidRPr="003A6C61" w:rsidRDefault="0086197B" w:rsidP="00602895">
      <w:pPr>
        <w:spacing w:after="0"/>
        <w:jc w:val="both"/>
        <w:rPr>
          <w:rFonts w:cstheme="minorHAnsi"/>
          <w:sz w:val="24"/>
          <w:szCs w:val="24"/>
        </w:rPr>
      </w:pPr>
      <w:r w:rsidRPr="003A6C61">
        <w:rPr>
          <w:rFonts w:cstheme="minorHAnsi"/>
          <w:b/>
          <w:bCs/>
          <w:sz w:val="24"/>
          <w:szCs w:val="24"/>
        </w:rPr>
        <w:t xml:space="preserve">Syed Basar Shueb, IHC’s Chief Executive Officer, commented: </w:t>
      </w:r>
      <w:r w:rsidRPr="003A6C61">
        <w:rPr>
          <w:rFonts w:cstheme="minorHAnsi"/>
          <w:sz w:val="24"/>
          <w:szCs w:val="24"/>
        </w:rPr>
        <w:t>“</w:t>
      </w:r>
      <w:r w:rsidR="002415B4" w:rsidRPr="003A6C61">
        <w:rPr>
          <w:rFonts w:cstheme="minorHAnsi"/>
          <w:sz w:val="24"/>
          <w:szCs w:val="24"/>
        </w:rPr>
        <w:t xml:space="preserve">There remains much to be done to capture our strategy's full potential, strengthening the group's performance even further, as other mega acquisition deals </w:t>
      </w:r>
      <w:r w:rsidR="003B7E20" w:rsidRPr="003A6C61">
        <w:rPr>
          <w:rFonts w:cstheme="minorHAnsi"/>
          <w:sz w:val="24"/>
          <w:szCs w:val="24"/>
        </w:rPr>
        <w:t xml:space="preserve">present themselves </w:t>
      </w:r>
      <w:r w:rsidR="00503E11" w:rsidRPr="003A6C61">
        <w:rPr>
          <w:rFonts w:cstheme="minorHAnsi"/>
          <w:sz w:val="24"/>
          <w:szCs w:val="24"/>
        </w:rPr>
        <w:t xml:space="preserve">in the second half of </w:t>
      </w:r>
      <w:r w:rsidR="002415B4" w:rsidRPr="003A6C61">
        <w:rPr>
          <w:rFonts w:cstheme="minorHAnsi"/>
          <w:sz w:val="24"/>
          <w:szCs w:val="24"/>
        </w:rPr>
        <w:t>this year, locally and globally</w:t>
      </w:r>
      <w:r w:rsidR="00C23A80" w:rsidRPr="003A6C61">
        <w:rPr>
          <w:rFonts w:cstheme="minorHAnsi"/>
          <w:sz w:val="24"/>
          <w:szCs w:val="24"/>
        </w:rPr>
        <w:t>.</w:t>
      </w:r>
      <w:r w:rsidR="00503E11" w:rsidRPr="003A6C61">
        <w:rPr>
          <w:rFonts w:cstheme="minorHAnsi"/>
          <w:sz w:val="24"/>
          <w:szCs w:val="24"/>
        </w:rPr>
        <w:t xml:space="preserve"> </w:t>
      </w:r>
      <w:r w:rsidR="002415B4" w:rsidRPr="003A6C61">
        <w:rPr>
          <w:rFonts w:cstheme="minorHAnsi"/>
          <w:sz w:val="24"/>
          <w:szCs w:val="24"/>
        </w:rPr>
        <w:t xml:space="preserve">It will continue for many </w:t>
      </w:r>
      <w:r w:rsidR="003B7E20" w:rsidRPr="003A6C61">
        <w:rPr>
          <w:rFonts w:cstheme="minorHAnsi"/>
          <w:sz w:val="24"/>
          <w:szCs w:val="24"/>
        </w:rPr>
        <w:t>Q</w:t>
      </w:r>
      <w:r w:rsidR="002415B4" w:rsidRPr="003A6C61">
        <w:rPr>
          <w:rFonts w:cstheme="minorHAnsi"/>
          <w:sz w:val="24"/>
          <w:szCs w:val="24"/>
        </w:rPr>
        <w:t>uarters.</w:t>
      </w:r>
      <w:r w:rsidR="00503E11" w:rsidRPr="003A6C61">
        <w:rPr>
          <w:rFonts w:cstheme="minorHAnsi"/>
          <w:sz w:val="24"/>
          <w:szCs w:val="24"/>
        </w:rPr>
        <w:t>”</w:t>
      </w:r>
    </w:p>
    <w:p w14:paraId="2C987C97" w14:textId="77777777" w:rsidR="00503E11" w:rsidRPr="003A6C61" w:rsidRDefault="00503E11" w:rsidP="00503E11">
      <w:pPr>
        <w:pStyle w:val="Default"/>
        <w:jc w:val="both"/>
        <w:rPr>
          <w:rFonts w:asciiTheme="minorHAnsi" w:hAnsiTheme="minorHAnsi" w:cstheme="minorHAnsi"/>
          <w:color w:val="auto"/>
        </w:rPr>
      </w:pPr>
    </w:p>
    <w:p w14:paraId="03FBB240" w14:textId="652D9931" w:rsidR="00C264A0" w:rsidRPr="003B7E20" w:rsidRDefault="009C5977" w:rsidP="00D26C40">
      <w:pPr>
        <w:spacing w:after="0"/>
        <w:jc w:val="both"/>
        <w:rPr>
          <w:rFonts w:cstheme="minorHAnsi"/>
          <w:sz w:val="24"/>
          <w:szCs w:val="24"/>
        </w:rPr>
      </w:pPr>
      <w:r w:rsidRPr="003A6C61">
        <w:rPr>
          <w:rFonts w:cstheme="minorHAnsi"/>
          <w:sz w:val="24"/>
          <w:szCs w:val="24"/>
        </w:rPr>
        <w:t xml:space="preserve">In the second quarter of 2022, IHC completed a </w:t>
      </w:r>
      <w:r w:rsidRPr="003A6C61">
        <w:rPr>
          <w:rFonts w:cstheme="minorHAnsi"/>
          <w:b/>
          <w:bCs/>
          <w:sz w:val="24"/>
          <w:szCs w:val="24"/>
        </w:rPr>
        <w:t>Dh7.3 billion ($2bn)</w:t>
      </w:r>
      <w:r w:rsidRPr="003A6C61">
        <w:rPr>
          <w:rFonts w:cstheme="minorHAnsi"/>
          <w:sz w:val="24"/>
          <w:szCs w:val="24"/>
        </w:rPr>
        <w:t xml:space="preserve"> strategic investment deal in the green energy sector with India's Adani Group, one of the largest deals between the UAE and India, representing </w:t>
      </w:r>
      <w:r w:rsidRPr="003A6C61">
        <w:rPr>
          <w:rFonts w:cstheme="minorHAnsi"/>
          <w:b/>
          <w:bCs/>
          <w:sz w:val="24"/>
          <w:szCs w:val="24"/>
        </w:rPr>
        <w:t>4.87%</w:t>
      </w:r>
      <w:r w:rsidRPr="003A6C61">
        <w:rPr>
          <w:rFonts w:cstheme="minorHAnsi"/>
          <w:sz w:val="24"/>
          <w:szCs w:val="24"/>
        </w:rPr>
        <w:t xml:space="preserve"> of</w:t>
      </w:r>
      <w:r w:rsidRPr="003B7E20">
        <w:rPr>
          <w:rFonts w:cstheme="minorHAnsi"/>
          <w:sz w:val="24"/>
          <w:szCs w:val="24"/>
        </w:rPr>
        <w:t xml:space="preserve"> the total trade between the two countries.</w:t>
      </w:r>
    </w:p>
    <w:p w14:paraId="0B2B7FE6" w14:textId="77777777" w:rsidR="00F341E3" w:rsidRPr="00AB05F2" w:rsidRDefault="00F341E3" w:rsidP="00F341E3">
      <w:pPr>
        <w:spacing w:after="0"/>
        <w:rPr>
          <w:rFonts w:cstheme="minorHAnsi"/>
          <w:b/>
          <w:sz w:val="24"/>
          <w:szCs w:val="24"/>
          <w:lang w:val="en-US"/>
        </w:rPr>
      </w:pPr>
    </w:p>
    <w:p w14:paraId="2D3336F6" w14:textId="77777777" w:rsidR="00AB05F2" w:rsidRDefault="00AB05F2" w:rsidP="00F341E3">
      <w:pPr>
        <w:spacing w:after="0"/>
        <w:rPr>
          <w:rFonts w:cstheme="minorHAnsi"/>
          <w:b/>
          <w:sz w:val="24"/>
          <w:szCs w:val="24"/>
          <w:lang w:val="en-US"/>
        </w:rPr>
      </w:pPr>
    </w:p>
    <w:p w14:paraId="7410FC09" w14:textId="77777777" w:rsidR="00AB05F2" w:rsidRDefault="00AB05F2" w:rsidP="00F341E3">
      <w:pPr>
        <w:spacing w:after="0"/>
        <w:rPr>
          <w:rFonts w:cstheme="minorHAnsi"/>
          <w:b/>
          <w:sz w:val="24"/>
          <w:szCs w:val="24"/>
          <w:lang w:val="en-US"/>
        </w:rPr>
      </w:pPr>
    </w:p>
    <w:p w14:paraId="3CAE6A28" w14:textId="77777777" w:rsidR="00AB05F2" w:rsidRDefault="00AB05F2" w:rsidP="00F341E3">
      <w:pPr>
        <w:spacing w:after="0"/>
        <w:rPr>
          <w:rFonts w:cstheme="minorHAnsi"/>
          <w:b/>
          <w:sz w:val="24"/>
          <w:szCs w:val="24"/>
          <w:lang w:val="en-US"/>
        </w:rPr>
      </w:pPr>
    </w:p>
    <w:p w14:paraId="488A16F8" w14:textId="4AA1CFD1" w:rsidR="00F341E3" w:rsidRPr="00AB05F2" w:rsidRDefault="00F341E3" w:rsidP="00F341E3">
      <w:pPr>
        <w:spacing w:after="0"/>
        <w:rPr>
          <w:rFonts w:cstheme="minorHAnsi"/>
          <w:b/>
          <w:sz w:val="24"/>
          <w:szCs w:val="24"/>
          <w:lang w:val="en-US"/>
        </w:rPr>
      </w:pPr>
      <w:r w:rsidRPr="00AB05F2">
        <w:rPr>
          <w:rFonts w:cstheme="minorHAnsi"/>
          <w:b/>
          <w:sz w:val="24"/>
          <w:szCs w:val="24"/>
          <w:lang w:val="en-US"/>
        </w:rPr>
        <w:t>Some of IHC’s financial milestones include:</w:t>
      </w:r>
    </w:p>
    <w:p w14:paraId="61437FA9" w14:textId="35CE4065" w:rsidR="00D26C40" w:rsidRPr="003A6C61" w:rsidRDefault="008D0B60" w:rsidP="00D26C40">
      <w:pPr>
        <w:pStyle w:val="NormalWeb"/>
        <w:shd w:val="clear" w:color="auto" w:fill="FFFFFF"/>
        <w:jc w:val="both"/>
        <w:rPr>
          <w:rFonts w:asciiTheme="minorHAnsi" w:eastAsiaTheme="minorHAnsi" w:hAnsiTheme="minorHAnsi" w:cstheme="minorHAnsi"/>
        </w:rPr>
      </w:pPr>
      <w:r w:rsidRPr="003A6C61">
        <w:rPr>
          <w:rFonts w:asciiTheme="minorHAnsi" w:eastAsiaTheme="minorHAnsi" w:hAnsiTheme="minorHAnsi" w:cstheme="minorHAnsi"/>
        </w:rPr>
        <w:t xml:space="preserve">Despite ongoing global market volatility, this first half performance demonstrated the versatility of IHC's portfolio as the </w:t>
      </w:r>
      <w:r w:rsidR="007C1FF6" w:rsidRPr="003A6C61">
        <w:rPr>
          <w:rFonts w:asciiTheme="minorHAnsi" w:eastAsiaTheme="minorHAnsi" w:hAnsiTheme="minorHAnsi" w:cstheme="minorHAnsi"/>
        </w:rPr>
        <w:t xml:space="preserve">Group's </w:t>
      </w:r>
      <w:r w:rsidR="003B7E20" w:rsidRPr="003A6C61">
        <w:rPr>
          <w:rFonts w:asciiTheme="minorHAnsi" w:eastAsiaTheme="minorHAnsi" w:hAnsiTheme="minorHAnsi" w:cstheme="minorHAnsi"/>
        </w:rPr>
        <w:t>N</w:t>
      </w:r>
      <w:r w:rsidRPr="003A6C61">
        <w:rPr>
          <w:rFonts w:asciiTheme="minorHAnsi" w:eastAsiaTheme="minorHAnsi" w:hAnsiTheme="minorHAnsi" w:cstheme="minorHAnsi"/>
        </w:rPr>
        <w:t xml:space="preserve">et </w:t>
      </w:r>
      <w:r w:rsidR="003B7E20" w:rsidRPr="003A6C61">
        <w:rPr>
          <w:rFonts w:asciiTheme="minorHAnsi" w:eastAsiaTheme="minorHAnsi" w:hAnsiTheme="minorHAnsi" w:cstheme="minorHAnsi"/>
        </w:rPr>
        <w:t>p</w:t>
      </w:r>
      <w:r w:rsidRPr="003A6C61">
        <w:rPr>
          <w:rFonts w:asciiTheme="minorHAnsi" w:eastAsiaTheme="minorHAnsi" w:hAnsiTheme="minorHAnsi" w:cstheme="minorHAnsi"/>
        </w:rPr>
        <w:t xml:space="preserve">rofit reached </w:t>
      </w:r>
      <w:r w:rsidRPr="003A6C61">
        <w:rPr>
          <w:rFonts w:asciiTheme="minorHAnsi" w:eastAsiaTheme="minorHAnsi" w:hAnsiTheme="minorHAnsi" w:cstheme="minorHAnsi"/>
          <w:b/>
          <w:bCs/>
        </w:rPr>
        <w:t xml:space="preserve">AED </w:t>
      </w:r>
      <w:r w:rsidR="007C1FF6" w:rsidRPr="003A6C61">
        <w:rPr>
          <w:rFonts w:asciiTheme="minorHAnsi" w:eastAsiaTheme="minorHAnsi" w:hAnsiTheme="minorHAnsi" w:cstheme="minorHAnsi"/>
          <w:b/>
          <w:bCs/>
        </w:rPr>
        <w:t xml:space="preserve">10.35 </w:t>
      </w:r>
      <w:r w:rsidRPr="003A6C61">
        <w:rPr>
          <w:rFonts w:asciiTheme="minorHAnsi" w:eastAsiaTheme="minorHAnsi" w:hAnsiTheme="minorHAnsi" w:cstheme="minorHAnsi"/>
          <w:b/>
          <w:bCs/>
        </w:rPr>
        <w:t>billion in the second quarter</w:t>
      </w:r>
      <w:r w:rsidRPr="003A6C61">
        <w:rPr>
          <w:rFonts w:asciiTheme="minorHAnsi" w:eastAsiaTheme="minorHAnsi" w:hAnsiTheme="minorHAnsi" w:cstheme="minorHAnsi"/>
        </w:rPr>
        <w:t xml:space="preserve"> of 2022, rising </w:t>
      </w:r>
      <w:r w:rsidR="005A47ED" w:rsidRPr="003A6C61">
        <w:rPr>
          <w:rFonts w:asciiTheme="minorHAnsi" w:eastAsiaTheme="minorHAnsi" w:hAnsiTheme="minorHAnsi" w:cstheme="minorHAnsi"/>
        </w:rPr>
        <w:t>137</w:t>
      </w:r>
      <w:r w:rsidRPr="003A6C61">
        <w:rPr>
          <w:rFonts w:asciiTheme="minorHAnsi" w:eastAsiaTheme="minorHAnsi" w:hAnsiTheme="minorHAnsi" w:cstheme="minorHAnsi"/>
        </w:rPr>
        <w:t xml:space="preserve">% </w:t>
      </w:r>
      <w:r w:rsidR="005A47ED" w:rsidRPr="003A6C61">
        <w:rPr>
          <w:rFonts w:asciiTheme="minorHAnsi" w:eastAsiaTheme="minorHAnsi" w:hAnsiTheme="minorHAnsi" w:cstheme="minorHAnsi"/>
        </w:rPr>
        <w:t>as compared to June 2021</w:t>
      </w:r>
      <w:r w:rsidRPr="003A6C61">
        <w:rPr>
          <w:rFonts w:asciiTheme="minorHAnsi" w:eastAsiaTheme="minorHAnsi" w:hAnsiTheme="minorHAnsi" w:cstheme="minorHAnsi"/>
        </w:rPr>
        <w:t xml:space="preserve">, </w:t>
      </w:r>
      <w:proofErr w:type="gramStart"/>
      <w:r w:rsidRPr="003A6C61">
        <w:rPr>
          <w:rFonts w:asciiTheme="minorHAnsi" w:eastAsiaTheme="minorHAnsi" w:hAnsiTheme="minorHAnsi" w:cstheme="minorHAnsi"/>
        </w:rPr>
        <w:t>as a result of</w:t>
      </w:r>
      <w:proofErr w:type="gramEnd"/>
      <w:r w:rsidRPr="003A6C61">
        <w:rPr>
          <w:rFonts w:asciiTheme="minorHAnsi" w:eastAsiaTheme="minorHAnsi" w:hAnsiTheme="minorHAnsi" w:cstheme="minorHAnsi"/>
        </w:rPr>
        <w:t xml:space="preserve"> major strategic acquisitions and subsidiaries solid performance, while </w:t>
      </w:r>
      <w:r w:rsidR="003B7E20" w:rsidRPr="003A6C61">
        <w:rPr>
          <w:rFonts w:asciiTheme="minorHAnsi" w:eastAsiaTheme="minorHAnsi" w:hAnsiTheme="minorHAnsi" w:cstheme="minorHAnsi"/>
        </w:rPr>
        <w:t>R</w:t>
      </w:r>
      <w:r w:rsidRPr="003A6C61">
        <w:rPr>
          <w:rFonts w:asciiTheme="minorHAnsi" w:eastAsiaTheme="minorHAnsi" w:hAnsiTheme="minorHAnsi" w:cstheme="minorHAnsi"/>
        </w:rPr>
        <w:t xml:space="preserve">evenue increased </w:t>
      </w:r>
      <w:r w:rsidR="00D26C40" w:rsidRPr="003A6C61">
        <w:rPr>
          <w:rFonts w:asciiTheme="minorHAnsi" w:eastAsiaTheme="minorHAnsi" w:hAnsiTheme="minorHAnsi" w:cstheme="minorHAnsi"/>
        </w:rPr>
        <w:t>121</w:t>
      </w:r>
      <w:r w:rsidRPr="003A6C61">
        <w:rPr>
          <w:rFonts w:asciiTheme="minorHAnsi" w:eastAsiaTheme="minorHAnsi" w:hAnsiTheme="minorHAnsi" w:cstheme="minorHAnsi"/>
        </w:rPr>
        <w:t xml:space="preserve">% </w:t>
      </w:r>
      <w:r w:rsidR="00D26C40" w:rsidRPr="003A6C61">
        <w:rPr>
          <w:rFonts w:asciiTheme="minorHAnsi" w:eastAsiaTheme="minorHAnsi" w:hAnsiTheme="minorHAnsi" w:cstheme="minorHAnsi"/>
        </w:rPr>
        <w:t xml:space="preserve">to AED 21.93 billion for the six months as compared to same period </w:t>
      </w:r>
      <w:r w:rsidR="00F5142F">
        <w:rPr>
          <w:rFonts w:asciiTheme="minorHAnsi" w:eastAsiaTheme="minorHAnsi" w:hAnsiTheme="minorHAnsi" w:cstheme="minorHAnsi"/>
        </w:rPr>
        <w:t xml:space="preserve">in the </w:t>
      </w:r>
      <w:r w:rsidR="00D26C40" w:rsidRPr="003A6C61">
        <w:rPr>
          <w:rFonts w:asciiTheme="minorHAnsi" w:eastAsiaTheme="minorHAnsi" w:hAnsiTheme="minorHAnsi" w:cstheme="minorHAnsi"/>
        </w:rPr>
        <w:t>previous year.</w:t>
      </w:r>
    </w:p>
    <w:p w14:paraId="69B7849F" w14:textId="3701B3CC" w:rsidR="00F341E3" w:rsidRPr="003A6C61" w:rsidRDefault="00F341E3" w:rsidP="00D26C40">
      <w:pPr>
        <w:pStyle w:val="NormalWeb"/>
        <w:shd w:val="clear" w:color="auto" w:fill="FFFFFF"/>
        <w:jc w:val="both"/>
        <w:rPr>
          <w:rFonts w:asciiTheme="minorHAnsi" w:hAnsiTheme="minorHAnsi" w:cstheme="minorHAnsi"/>
          <w:lang w:bidi="ar-AE"/>
        </w:rPr>
      </w:pPr>
      <w:r w:rsidRPr="003A6C61">
        <w:rPr>
          <w:rFonts w:asciiTheme="minorHAnsi" w:hAnsiTheme="minorHAnsi" w:cstheme="minorHAnsi"/>
          <w:lang w:bidi="ar-AE"/>
        </w:rPr>
        <w:t xml:space="preserve">In the first half of 2022, the </w:t>
      </w:r>
      <w:r w:rsidR="003B7E20" w:rsidRPr="003A6C61">
        <w:rPr>
          <w:rFonts w:asciiTheme="minorHAnsi" w:hAnsiTheme="minorHAnsi" w:cstheme="minorHAnsi"/>
          <w:lang w:bidi="ar-AE"/>
        </w:rPr>
        <w:t>N</w:t>
      </w:r>
      <w:r w:rsidRPr="003A6C61">
        <w:rPr>
          <w:rFonts w:asciiTheme="minorHAnsi" w:hAnsiTheme="minorHAnsi" w:cstheme="minorHAnsi"/>
          <w:lang w:bidi="ar-AE"/>
        </w:rPr>
        <w:t xml:space="preserve">et </w:t>
      </w:r>
      <w:r w:rsidR="00EB0087" w:rsidRPr="003A6C61">
        <w:rPr>
          <w:rFonts w:asciiTheme="minorHAnsi" w:hAnsiTheme="minorHAnsi" w:cstheme="minorHAnsi"/>
          <w:lang w:bidi="ar-AE"/>
        </w:rPr>
        <w:t xml:space="preserve">Profit </w:t>
      </w:r>
      <w:r w:rsidR="003B7E20" w:rsidRPr="003A6C61">
        <w:rPr>
          <w:rFonts w:asciiTheme="minorHAnsi" w:hAnsiTheme="minorHAnsi" w:cstheme="minorHAnsi"/>
          <w:lang w:bidi="ar-AE"/>
        </w:rPr>
        <w:t>M</w:t>
      </w:r>
      <w:r w:rsidRPr="003A6C61">
        <w:rPr>
          <w:rFonts w:asciiTheme="minorHAnsi" w:hAnsiTheme="minorHAnsi" w:cstheme="minorHAnsi"/>
          <w:lang w:bidi="ar-AE"/>
        </w:rPr>
        <w:t xml:space="preserve">argin stood at </w:t>
      </w:r>
      <w:r w:rsidR="003F7ED1" w:rsidRPr="003A6C61">
        <w:rPr>
          <w:rFonts w:asciiTheme="minorHAnsi" w:hAnsiTheme="minorHAnsi" w:cstheme="minorHAnsi"/>
          <w:lang w:bidi="ar-AE"/>
        </w:rPr>
        <w:t xml:space="preserve">47% </w:t>
      </w:r>
      <w:r w:rsidRPr="003A6C61">
        <w:rPr>
          <w:rFonts w:asciiTheme="minorHAnsi" w:hAnsiTheme="minorHAnsi" w:cstheme="minorHAnsi"/>
          <w:lang w:bidi="ar-AE"/>
        </w:rPr>
        <w:t xml:space="preserve">percent, growing by </w:t>
      </w:r>
      <w:r w:rsidR="00C41034">
        <w:rPr>
          <w:rFonts w:asciiTheme="minorHAnsi" w:hAnsiTheme="minorHAnsi" w:cstheme="minorHAnsi"/>
          <w:lang w:bidi="ar-AE"/>
        </w:rPr>
        <w:t xml:space="preserve">137% </w:t>
      </w:r>
      <w:r w:rsidRPr="003A6C61">
        <w:rPr>
          <w:rFonts w:asciiTheme="minorHAnsi" w:hAnsiTheme="minorHAnsi" w:cstheme="minorHAnsi"/>
          <w:lang w:bidi="ar-AE"/>
        </w:rPr>
        <w:t>percent compared to same period last year.</w:t>
      </w:r>
    </w:p>
    <w:p w14:paraId="31D096CE" w14:textId="29E145DB" w:rsidR="0086197B" w:rsidRPr="003A6C61" w:rsidRDefault="00F341E3" w:rsidP="00E17C50">
      <w:pPr>
        <w:pStyle w:val="NormalWeb"/>
        <w:numPr>
          <w:ilvl w:val="0"/>
          <w:numId w:val="5"/>
        </w:numPr>
        <w:shd w:val="clear" w:color="auto" w:fill="FFFFFF"/>
        <w:jc w:val="both"/>
        <w:rPr>
          <w:rFonts w:asciiTheme="minorHAnsi" w:hAnsiTheme="minorHAnsi" w:cstheme="minorHAnsi"/>
          <w:lang w:bidi="ar-AE"/>
        </w:rPr>
      </w:pPr>
      <w:r w:rsidRPr="003A6C61">
        <w:rPr>
          <w:rFonts w:asciiTheme="minorHAnsi" w:hAnsiTheme="minorHAnsi" w:cstheme="minorHAnsi"/>
          <w:lang w:bidi="ar-AE"/>
        </w:rPr>
        <w:t xml:space="preserve">Total </w:t>
      </w:r>
      <w:r w:rsidR="003B7E20" w:rsidRPr="003A6C61">
        <w:rPr>
          <w:rFonts w:asciiTheme="minorHAnsi" w:hAnsiTheme="minorHAnsi" w:cstheme="minorHAnsi"/>
          <w:lang w:bidi="ar-AE"/>
        </w:rPr>
        <w:t>A</w:t>
      </w:r>
      <w:r w:rsidRPr="003A6C61">
        <w:rPr>
          <w:rFonts w:asciiTheme="minorHAnsi" w:hAnsiTheme="minorHAnsi" w:cstheme="minorHAnsi"/>
          <w:lang w:bidi="ar-AE"/>
        </w:rPr>
        <w:t xml:space="preserve">ssets by end of Q2 2022 were AED </w:t>
      </w:r>
      <w:r w:rsidR="003C61A3" w:rsidRPr="003A6C61">
        <w:rPr>
          <w:rFonts w:asciiTheme="minorHAnsi" w:hAnsiTheme="minorHAnsi" w:cstheme="minorHAnsi"/>
          <w:lang w:bidi="ar-AE"/>
        </w:rPr>
        <w:t>163.69</w:t>
      </w:r>
      <w:r w:rsidRPr="003A6C61">
        <w:rPr>
          <w:rFonts w:asciiTheme="minorHAnsi" w:hAnsiTheme="minorHAnsi" w:cstheme="minorHAnsi"/>
          <w:lang w:bidi="ar-AE"/>
        </w:rPr>
        <w:t xml:space="preserve"> billion - an increase of AED </w:t>
      </w:r>
      <w:r w:rsidR="003C61A3" w:rsidRPr="003A6C61">
        <w:rPr>
          <w:rFonts w:asciiTheme="minorHAnsi" w:hAnsiTheme="minorHAnsi" w:cstheme="minorHAnsi"/>
          <w:lang w:bidi="ar-AE"/>
        </w:rPr>
        <w:t xml:space="preserve">74.71 </w:t>
      </w:r>
      <w:r w:rsidRPr="003A6C61">
        <w:rPr>
          <w:rFonts w:asciiTheme="minorHAnsi" w:hAnsiTheme="minorHAnsi" w:cstheme="minorHAnsi"/>
          <w:lang w:bidi="ar-AE"/>
        </w:rPr>
        <w:t>billion from December 31, 202</w:t>
      </w:r>
      <w:r w:rsidR="00E17C50" w:rsidRPr="003A6C61">
        <w:rPr>
          <w:rFonts w:asciiTheme="minorHAnsi" w:hAnsiTheme="minorHAnsi" w:cstheme="minorHAnsi"/>
          <w:lang w:bidi="ar-AE"/>
        </w:rPr>
        <w:t>1</w:t>
      </w:r>
    </w:p>
    <w:p w14:paraId="675B1057" w14:textId="73F06E2A" w:rsidR="00E17C50" w:rsidRPr="003A6C61" w:rsidRDefault="0078150A" w:rsidP="00E17C50">
      <w:pPr>
        <w:pStyle w:val="Default"/>
        <w:jc w:val="both"/>
        <w:rPr>
          <w:rFonts w:asciiTheme="minorHAnsi" w:hAnsiTheme="minorHAnsi" w:cstheme="minorHAnsi"/>
          <w:b/>
          <w:bCs/>
          <w:color w:val="auto"/>
        </w:rPr>
      </w:pPr>
      <w:r w:rsidRPr="003A6C61">
        <w:rPr>
          <w:rFonts w:asciiTheme="minorHAnsi" w:hAnsiTheme="minorHAnsi" w:cstheme="minorHAnsi"/>
          <w:b/>
          <w:bCs/>
          <w:color w:val="auto"/>
        </w:rPr>
        <w:t>Strategic Investments toward a stellar performance</w:t>
      </w:r>
    </w:p>
    <w:p w14:paraId="7CBF9DCF" w14:textId="3327C356" w:rsidR="0086197B" w:rsidRPr="003A6C61" w:rsidRDefault="0086197B" w:rsidP="0086197B">
      <w:pPr>
        <w:spacing w:after="0"/>
        <w:rPr>
          <w:rFonts w:eastAsia="Times New Roman" w:cstheme="minorHAnsi"/>
          <w:sz w:val="24"/>
          <w:szCs w:val="24"/>
          <w:lang w:val="en-AE"/>
        </w:rPr>
      </w:pPr>
    </w:p>
    <w:p w14:paraId="508D4AF0" w14:textId="72DD135E" w:rsidR="00A04CE0" w:rsidRPr="003A6C61" w:rsidRDefault="00A04CE0" w:rsidP="008D0B60">
      <w:pPr>
        <w:pStyle w:val="ListParagraph"/>
        <w:numPr>
          <w:ilvl w:val="0"/>
          <w:numId w:val="6"/>
        </w:numPr>
        <w:spacing w:after="0"/>
        <w:rPr>
          <w:rFonts w:eastAsia="Times New Roman" w:cstheme="minorHAnsi"/>
          <w:sz w:val="24"/>
          <w:szCs w:val="24"/>
          <w:lang w:val="en-US"/>
        </w:rPr>
      </w:pPr>
      <w:r w:rsidRPr="003A6C61">
        <w:rPr>
          <w:rFonts w:eastAsia="Times New Roman" w:cstheme="minorHAnsi"/>
          <w:sz w:val="24"/>
          <w:szCs w:val="24"/>
          <w:lang w:val="en-US"/>
        </w:rPr>
        <w:t xml:space="preserve">Invested </w:t>
      </w:r>
      <w:r w:rsidRPr="003A6C61">
        <w:rPr>
          <w:rFonts w:eastAsia="Times New Roman" w:cstheme="minorHAnsi"/>
          <w:b/>
          <w:bCs/>
          <w:sz w:val="24"/>
          <w:szCs w:val="24"/>
          <w:lang w:val="en-US"/>
        </w:rPr>
        <w:t>Dh7.3 billion ($2 billion)</w:t>
      </w:r>
      <w:r w:rsidRPr="003A6C61">
        <w:rPr>
          <w:rFonts w:eastAsia="Times New Roman" w:cstheme="minorHAnsi"/>
          <w:sz w:val="24"/>
          <w:szCs w:val="24"/>
          <w:lang w:val="en-US"/>
        </w:rPr>
        <w:t xml:space="preserve"> in the Indian conglomerate, Adani Group.</w:t>
      </w:r>
    </w:p>
    <w:p w14:paraId="2A1AE9FB" w14:textId="5CBCE189" w:rsidR="00BE64D4" w:rsidRPr="003A6C61" w:rsidRDefault="00BE64D4" w:rsidP="008D0B60">
      <w:pPr>
        <w:pStyle w:val="ListParagraph"/>
        <w:numPr>
          <w:ilvl w:val="0"/>
          <w:numId w:val="6"/>
        </w:numPr>
        <w:spacing w:after="0"/>
        <w:rPr>
          <w:rFonts w:eastAsia="Times New Roman" w:cstheme="minorHAnsi"/>
          <w:sz w:val="24"/>
          <w:szCs w:val="24"/>
          <w:lang w:val="en-US"/>
        </w:rPr>
      </w:pPr>
      <w:r w:rsidRPr="003A6C61">
        <w:rPr>
          <w:rFonts w:eastAsia="Times New Roman" w:cstheme="minorHAnsi"/>
          <w:sz w:val="24"/>
          <w:szCs w:val="24"/>
          <w:lang w:val="en-US"/>
        </w:rPr>
        <w:t xml:space="preserve">Acquired </w:t>
      </w:r>
      <w:r w:rsidRPr="003A6C61">
        <w:rPr>
          <w:rFonts w:eastAsia="Times New Roman" w:cstheme="minorHAnsi"/>
          <w:b/>
          <w:bCs/>
          <w:sz w:val="24"/>
          <w:szCs w:val="24"/>
          <w:lang w:val="en-US"/>
        </w:rPr>
        <w:t>70% stake</w:t>
      </w:r>
      <w:r w:rsidRPr="003A6C61">
        <w:rPr>
          <w:rFonts w:eastAsia="Times New Roman" w:cstheme="minorHAnsi"/>
          <w:sz w:val="24"/>
          <w:szCs w:val="24"/>
          <w:lang w:val="en-US"/>
        </w:rPr>
        <w:t xml:space="preserve"> in Arena, the global </w:t>
      </w:r>
      <w:r w:rsidR="00476CF8" w:rsidRPr="003A6C61">
        <w:rPr>
          <w:rFonts w:eastAsia="Times New Roman" w:cstheme="minorHAnsi"/>
          <w:sz w:val="24"/>
          <w:szCs w:val="24"/>
          <w:lang w:val="en-US"/>
        </w:rPr>
        <w:t xml:space="preserve">event </w:t>
      </w:r>
      <w:proofErr w:type="gramStart"/>
      <w:r w:rsidR="00476CF8" w:rsidRPr="003A6C61">
        <w:rPr>
          <w:rFonts w:eastAsia="Times New Roman" w:cstheme="minorHAnsi"/>
          <w:sz w:val="24"/>
          <w:szCs w:val="24"/>
          <w:lang w:val="en-US"/>
        </w:rPr>
        <w:t>structure</w:t>
      </w:r>
      <w:r w:rsidR="00F5142F">
        <w:rPr>
          <w:rFonts w:eastAsia="Times New Roman" w:cstheme="minorHAnsi"/>
          <w:sz w:val="24"/>
          <w:szCs w:val="24"/>
          <w:lang w:val="en-US"/>
        </w:rPr>
        <w:t>s</w:t>
      </w:r>
      <w:proofErr w:type="gramEnd"/>
      <w:r w:rsidR="00F5142F">
        <w:rPr>
          <w:rFonts w:eastAsia="Times New Roman" w:cstheme="minorHAnsi"/>
          <w:sz w:val="24"/>
          <w:szCs w:val="24"/>
          <w:lang w:val="en-US"/>
        </w:rPr>
        <w:t xml:space="preserve"> and</w:t>
      </w:r>
      <w:r w:rsidR="00476CF8" w:rsidRPr="003A6C61">
        <w:rPr>
          <w:rFonts w:eastAsia="Times New Roman" w:cstheme="minorHAnsi"/>
          <w:sz w:val="24"/>
          <w:szCs w:val="24"/>
          <w:lang w:val="en-US"/>
        </w:rPr>
        <w:t xml:space="preserve"> service</w:t>
      </w:r>
      <w:r w:rsidR="00F5142F">
        <w:rPr>
          <w:rFonts w:eastAsia="Times New Roman" w:cstheme="minorHAnsi"/>
          <w:sz w:val="24"/>
          <w:szCs w:val="24"/>
          <w:lang w:val="en-US"/>
        </w:rPr>
        <w:t>s</w:t>
      </w:r>
      <w:r w:rsidR="00476CF8" w:rsidRPr="003A6C61">
        <w:rPr>
          <w:rFonts w:eastAsia="Times New Roman" w:cstheme="minorHAnsi"/>
          <w:sz w:val="24"/>
          <w:szCs w:val="24"/>
          <w:lang w:val="en-US"/>
        </w:rPr>
        <w:t xml:space="preserve"> company</w:t>
      </w:r>
      <w:r w:rsidR="00476CF8" w:rsidRPr="003A6C61">
        <w:rPr>
          <w:rFonts w:eastAsia="Times New Roman" w:cstheme="minorHAnsi"/>
          <w:b/>
          <w:bCs/>
          <w:sz w:val="24"/>
          <w:szCs w:val="24"/>
          <w:lang w:val="en-US"/>
        </w:rPr>
        <w:t xml:space="preserve">. </w:t>
      </w:r>
    </w:p>
    <w:p w14:paraId="177D94D5" w14:textId="697AE11C" w:rsidR="00E17C50" w:rsidRPr="003A6C61" w:rsidRDefault="0034771F" w:rsidP="008D0B60">
      <w:pPr>
        <w:pStyle w:val="ListParagraph"/>
        <w:numPr>
          <w:ilvl w:val="0"/>
          <w:numId w:val="6"/>
        </w:numPr>
        <w:spacing w:after="0"/>
        <w:rPr>
          <w:rFonts w:eastAsia="Times New Roman" w:cstheme="minorHAnsi"/>
          <w:sz w:val="24"/>
          <w:szCs w:val="24"/>
          <w:lang w:val="en-US"/>
        </w:rPr>
      </w:pPr>
      <w:r w:rsidRPr="003A6C61">
        <w:rPr>
          <w:rFonts w:eastAsia="Times New Roman" w:cstheme="minorHAnsi"/>
          <w:sz w:val="24"/>
          <w:szCs w:val="24"/>
          <w:lang w:val="en-US"/>
        </w:rPr>
        <w:t xml:space="preserve">As per a </w:t>
      </w:r>
      <w:r w:rsidR="00791EBE" w:rsidRPr="003A6C61">
        <w:rPr>
          <w:rFonts w:eastAsia="Times New Roman" w:cstheme="minorHAnsi"/>
          <w:sz w:val="24"/>
          <w:szCs w:val="24"/>
          <w:lang w:val="en-US"/>
        </w:rPr>
        <w:t>May</w:t>
      </w:r>
      <w:r w:rsidRPr="003A6C61">
        <w:rPr>
          <w:rFonts w:eastAsia="Times New Roman" w:cstheme="minorHAnsi"/>
          <w:sz w:val="24"/>
          <w:szCs w:val="24"/>
          <w:lang w:val="en-US"/>
        </w:rPr>
        <w:t xml:space="preserve"> filing, IHC </w:t>
      </w:r>
      <w:r w:rsidR="000327B7" w:rsidRPr="003A6C61">
        <w:rPr>
          <w:rFonts w:eastAsia="Times New Roman" w:cstheme="minorHAnsi"/>
          <w:sz w:val="24"/>
          <w:szCs w:val="24"/>
          <w:lang w:val="en-US"/>
        </w:rPr>
        <w:t>i</w:t>
      </w:r>
      <w:r w:rsidRPr="003A6C61">
        <w:rPr>
          <w:rFonts w:eastAsia="Times New Roman" w:cstheme="minorHAnsi"/>
          <w:sz w:val="24"/>
          <w:szCs w:val="24"/>
          <w:lang w:val="en-US"/>
        </w:rPr>
        <w:t>nvest</w:t>
      </w:r>
      <w:r w:rsidR="000327B7" w:rsidRPr="003A6C61">
        <w:rPr>
          <w:rFonts w:eastAsia="Times New Roman" w:cstheme="minorHAnsi"/>
          <w:sz w:val="24"/>
          <w:szCs w:val="24"/>
          <w:lang w:val="en-US"/>
        </w:rPr>
        <w:t>ed</w:t>
      </w:r>
      <w:r w:rsidRPr="003A6C61">
        <w:rPr>
          <w:rFonts w:eastAsia="Times New Roman" w:cstheme="minorHAnsi"/>
          <w:sz w:val="24"/>
          <w:szCs w:val="24"/>
          <w:lang w:val="en-US"/>
        </w:rPr>
        <w:t xml:space="preserve"> another </w:t>
      </w:r>
      <w:r w:rsidR="000327B7" w:rsidRPr="003A6C61">
        <w:rPr>
          <w:rFonts w:eastAsia="Times New Roman" w:cstheme="minorHAnsi"/>
          <w:b/>
          <w:bCs/>
          <w:sz w:val="24"/>
          <w:szCs w:val="24"/>
          <w:lang w:val="en-US"/>
        </w:rPr>
        <w:t>AED 92 million (</w:t>
      </w:r>
      <w:r w:rsidRPr="003A6C61">
        <w:rPr>
          <w:rFonts w:eastAsia="Times New Roman" w:cstheme="minorHAnsi"/>
          <w:b/>
          <w:bCs/>
          <w:sz w:val="24"/>
          <w:szCs w:val="24"/>
          <w:lang w:val="en-US"/>
        </w:rPr>
        <w:t>$25 million</w:t>
      </w:r>
      <w:r w:rsidR="000327B7" w:rsidRPr="003A6C61">
        <w:rPr>
          <w:rFonts w:eastAsia="Times New Roman" w:cstheme="minorHAnsi"/>
          <w:b/>
          <w:bCs/>
          <w:sz w:val="24"/>
          <w:szCs w:val="24"/>
          <w:lang w:val="en-US"/>
        </w:rPr>
        <w:t>)</w:t>
      </w:r>
      <w:r w:rsidRPr="003A6C61">
        <w:rPr>
          <w:rFonts w:eastAsia="Times New Roman" w:cstheme="minorHAnsi"/>
          <w:sz w:val="24"/>
          <w:szCs w:val="24"/>
          <w:lang w:val="en-US"/>
        </w:rPr>
        <w:t xml:space="preserve"> into SpaceX</w:t>
      </w:r>
      <w:r w:rsidR="000327B7" w:rsidRPr="003A6C61">
        <w:rPr>
          <w:rFonts w:eastAsia="Times New Roman" w:cstheme="minorHAnsi"/>
          <w:sz w:val="24"/>
          <w:szCs w:val="24"/>
          <w:lang w:val="en-US"/>
        </w:rPr>
        <w:t>.</w:t>
      </w:r>
    </w:p>
    <w:p w14:paraId="2EEBAB6A" w14:textId="72913A66" w:rsidR="00A04CE0" w:rsidRDefault="000327B7" w:rsidP="00C157DB">
      <w:pPr>
        <w:pStyle w:val="ListParagraph"/>
        <w:numPr>
          <w:ilvl w:val="0"/>
          <w:numId w:val="0"/>
        </w:numPr>
        <w:spacing w:after="0"/>
        <w:ind w:left="720"/>
        <w:rPr>
          <w:rFonts w:eastAsia="Times New Roman" w:cstheme="minorHAnsi"/>
          <w:sz w:val="24"/>
          <w:szCs w:val="24"/>
          <w:lang w:val="en-US"/>
        </w:rPr>
      </w:pPr>
      <w:r w:rsidRPr="00F21B33">
        <w:rPr>
          <w:rFonts w:eastAsia="Times New Roman" w:cstheme="minorHAnsi"/>
          <w:sz w:val="24"/>
          <w:szCs w:val="24"/>
          <w:lang w:val="en-US"/>
        </w:rPr>
        <w:t xml:space="preserve">Bought a </w:t>
      </w:r>
      <w:r w:rsidRPr="003D486E">
        <w:rPr>
          <w:rFonts w:eastAsia="Times New Roman" w:cstheme="minorHAnsi"/>
          <w:b/>
          <w:bCs/>
          <w:sz w:val="24"/>
          <w:szCs w:val="24"/>
          <w:lang w:val="en-US"/>
        </w:rPr>
        <w:t>25 per cent</w:t>
      </w:r>
      <w:r w:rsidRPr="00F21B33">
        <w:rPr>
          <w:rFonts w:eastAsia="Times New Roman" w:cstheme="minorHAnsi"/>
          <w:sz w:val="24"/>
          <w:szCs w:val="24"/>
          <w:lang w:val="en-US"/>
        </w:rPr>
        <w:t xml:space="preserve"> share in Dubai-based trading company Invictus</w:t>
      </w:r>
      <w:r w:rsidR="00F21B33">
        <w:rPr>
          <w:rFonts w:eastAsia="Times New Roman" w:cstheme="minorHAnsi"/>
          <w:sz w:val="24"/>
          <w:szCs w:val="24"/>
          <w:lang w:val="en-US"/>
        </w:rPr>
        <w:t>.</w:t>
      </w:r>
    </w:p>
    <w:p w14:paraId="487A5A5C" w14:textId="77777777" w:rsidR="00F21B33" w:rsidRPr="00F21B33" w:rsidRDefault="00F21B33" w:rsidP="00C157DB">
      <w:pPr>
        <w:pStyle w:val="ListParagraph"/>
        <w:numPr>
          <w:ilvl w:val="0"/>
          <w:numId w:val="0"/>
        </w:numPr>
        <w:spacing w:after="0"/>
        <w:ind w:left="720"/>
        <w:rPr>
          <w:rFonts w:eastAsia="Times New Roman" w:cstheme="minorHAnsi"/>
          <w:sz w:val="24"/>
          <w:szCs w:val="24"/>
          <w:lang w:val="en-US"/>
        </w:rPr>
      </w:pPr>
    </w:p>
    <w:p w14:paraId="7C2A71E0" w14:textId="679873D8" w:rsidR="00B35C37" w:rsidRPr="00C41034" w:rsidRDefault="00231B3E" w:rsidP="00231B3E">
      <w:pPr>
        <w:spacing w:after="0"/>
        <w:jc w:val="both"/>
        <w:rPr>
          <w:rFonts w:eastAsia="Times New Roman" w:cstheme="minorHAnsi"/>
          <w:color w:val="001432" w:themeColor="text1"/>
          <w:sz w:val="24"/>
          <w:szCs w:val="24"/>
          <w:lang w:val="en-US"/>
        </w:rPr>
      </w:pPr>
      <w:r>
        <w:rPr>
          <w:rFonts w:eastAsia="Times New Roman" w:cstheme="minorHAnsi"/>
          <w:color w:val="001432" w:themeColor="text1"/>
          <w:sz w:val="24"/>
          <w:szCs w:val="24"/>
          <w:lang w:val="en-US"/>
        </w:rPr>
        <w:t>T</w:t>
      </w:r>
      <w:r w:rsidRPr="00C41034">
        <w:rPr>
          <w:rFonts w:eastAsia="Times New Roman" w:cstheme="minorHAnsi"/>
          <w:color w:val="001432" w:themeColor="text1"/>
          <w:sz w:val="24"/>
          <w:szCs w:val="24"/>
          <w:lang w:val="en-US"/>
        </w:rPr>
        <w:t xml:space="preserve">he </w:t>
      </w:r>
      <w:r>
        <w:rPr>
          <w:rFonts w:eastAsia="Times New Roman" w:cstheme="minorHAnsi"/>
          <w:color w:val="001432" w:themeColor="text1"/>
          <w:sz w:val="24"/>
          <w:szCs w:val="24"/>
          <w:lang w:val="en-US"/>
        </w:rPr>
        <w:t xml:space="preserve">company’s </w:t>
      </w:r>
      <w:r w:rsidRPr="00C41034">
        <w:rPr>
          <w:rFonts w:eastAsia="Times New Roman" w:cstheme="minorHAnsi"/>
          <w:color w:val="001432" w:themeColor="text1"/>
          <w:sz w:val="24"/>
          <w:szCs w:val="24"/>
          <w:lang w:val="en-US"/>
        </w:rPr>
        <w:t xml:space="preserve">board has approved the acquisition of three new companies, Cyber Gate, Reach, and </w:t>
      </w:r>
      <w:proofErr w:type="spellStart"/>
      <w:r w:rsidRPr="00C41034">
        <w:rPr>
          <w:rFonts w:eastAsia="Times New Roman" w:cstheme="minorHAnsi"/>
          <w:color w:val="001432" w:themeColor="text1"/>
          <w:sz w:val="24"/>
          <w:szCs w:val="24"/>
          <w:lang w:val="en-US"/>
        </w:rPr>
        <w:t>Emircon</w:t>
      </w:r>
      <w:proofErr w:type="spellEnd"/>
      <w:r>
        <w:rPr>
          <w:rFonts w:eastAsia="Times New Roman" w:cstheme="minorHAnsi"/>
          <w:color w:val="001432" w:themeColor="text1"/>
          <w:sz w:val="24"/>
          <w:szCs w:val="24"/>
          <w:lang w:val="en-US"/>
        </w:rPr>
        <w:t xml:space="preserve">, </w:t>
      </w:r>
      <w:r w:rsidRPr="00C41034">
        <w:rPr>
          <w:rFonts w:eastAsia="Times New Roman" w:cstheme="minorHAnsi"/>
          <w:color w:val="001432" w:themeColor="text1"/>
          <w:sz w:val="24"/>
          <w:szCs w:val="24"/>
          <w:lang w:val="en-US"/>
        </w:rPr>
        <w:t>subject to the authority's approval</w:t>
      </w:r>
      <w:r>
        <w:rPr>
          <w:rFonts w:eastAsia="Times New Roman" w:cstheme="minorHAnsi"/>
          <w:color w:val="001432" w:themeColor="text1"/>
          <w:sz w:val="24"/>
          <w:szCs w:val="24"/>
          <w:lang w:val="en-US"/>
        </w:rPr>
        <w:t>.</w:t>
      </w:r>
      <w:r w:rsidRPr="003A6C61">
        <w:rPr>
          <w:rFonts w:eastAsia="Times New Roman" w:cstheme="minorHAnsi"/>
          <w:color w:val="001432" w:themeColor="text1"/>
          <w:sz w:val="24"/>
          <w:szCs w:val="24"/>
          <w:lang w:val="en-AE"/>
        </w:rPr>
        <w:t xml:space="preserve"> </w:t>
      </w:r>
      <w:r>
        <w:rPr>
          <w:rFonts w:eastAsia="Times New Roman" w:cstheme="minorHAnsi"/>
          <w:color w:val="001432" w:themeColor="text1"/>
          <w:sz w:val="24"/>
          <w:szCs w:val="24"/>
          <w:lang w:val="en-US"/>
        </w:rPr>
        <w:t xml:space="preserve">While </w:t>
      </w:r>
      <w:r w:rsidR="00275FFA" w:rsidRPr="003A6C61">
        <w:rPr>
          <w:rFonts w:eastAsia="Times New Roman" w:cstheme="minorHAnsi"/>
          <w:color w:val="001432" w:themeColor="text1"/>
          <w:sz w:val="24"/>
          <w:szCs w:val="24"/>
          <w:lang w:val="en-AE"/>
        </w:rPr>
        <w:t xml:space="preserve">IHC continues to deliver on its strategic growth plans, expanding its portfolio to 372 subsidiaries, an increase of 49 up from 323 in Q1 of 2022, the workforce is now measuring 52,345 employees, growing by over 30,000 since the first quarter of last year. “Before you can even think about your company's growth trajectory, you need a solid team to help you achieve your goals.” </w:t>
      </w:r>
      <w:r w:rsidR="00F5142F">
        <w:rPr>
          <w:rFonts w:eastAsia="Times New Roman" w:cstheme="minorHAnsi"/>
          <w:b/>
          <w:bCs/>
          <w:color w:val="001432" w:themeColor="text1"/>
          <w:sz w:val="24"/>
          <w:szCs w:val="24"/>
          <w:lang w:val="en-US"/>
        </w:rPr>
        <w:t>s</w:t>
      </w:r>
      <w:r w:rsidR="00275FFA" w:rsidRPr="003A6C61">
        <w:rPr>
          <w:rFonts w:eastAsia="Times New Roman" w:cstheme="minorHAnsi"/>
          <w:b/>
          <w:bCs/>
          <w:color w:val="001432" w:themeColor="text1"/>
          <w:sz w:val="24"/>
          <w:szCs w:val="24"/>
          <w:lang w:val="en-AE"/>
        </w:rPr>
        <w:t>aid Shueb</w:t>
      </w:r>
    </w:p>
    <w:p w14:paraId="3F40EC6D" w14:textId="77777777" w:rsidR="00275FFA" w:rsidRPr="008608A2" w:rsidRDefault="00275FFA" w:rsidP="005E24EC">
      <w:pPr>
        <w:spacing w:after="0"/>
        <w:jc w:val="both"/>
        <w:rPr>
          <w:rFonts w:eastAsia="Times New Roman" w:cstheme="minorHAnsi"/>
          <w:color w:val="001432" w:themeColor="text1"/>
          <w:sz w:val="24"/>
          <w:szCs w:val="24"/>
          <w:lang w:val="en-US"/>
        </w:rPr>
      </w:pPr>
    </w:p>
    <w:p w14:paraId="4DA4CE3D" w14:textId="35A0EAA4" w:rsidR="00AB05F2" w:rsidRPr="003A6C61" w:rsidRDefault="00AB05F2" w:rsidP="005E24EC">
      <w:pPr>
        <w:spacing w:after="0"/>
        <w:jc w:val="both"/>
        <w:rPr>
          <w:rFonts w:eastAsia="Times New Roman" w:cstheme="minorHAnsi"/>
          <w:color w:val="001432" w:themeColor="text1"/>
          <w:sz w:val="24"/>
          <w:szCs w:val="24"/>
          <w:lang w:val="en-AE"/>
        </w:rPr>
      </w:pPr>
      <w:r w:rsidRPr="003A6C61">
        <w:rPr>
          <w:rFonts w:eastAsia="Times New Roman" w:cstheme="minorHAnsi"/>
          <w:color w:val="001432" w:themeColor="text1"/>
          <w:sz w:val="24"/>
          <w:szCs w:val="24"/>
          <w:lang w:val="en-US"/>
        </w:rPr>
        <w:t xml:space="preserve">IHC </w:t>
      </w:r>
      <w:r w:rsidRPr="003A6C61">
        <w:rPr>
          <w:rFonts w:eastAsia="Times New Roman" w:cstheme="minorHAnsi"/>
          <w:color w:val="001432" w:themeColor="text1"/>
          <w:sz w:val="24"/>
          <w:szCs w:val="24"/>
          <w:lang w:val="en-AE"/>
        </w:rPr>
        <w:t xml:space="preserve">comprises 8 listed subsidiaries: Alpha Dhabi, Multiply, ESG, Palms Sports, Al Seer Marine, Ghitha, EasyLease, and Q holding, with a capital of </w:t>
      </w:r>
      <w:r w:rsidRPr="003A6C61">
        <w:rPr>
          <w:rFonts w:eastAsia="Times New Roman" w:cstheme="minorHAnsi"/>
          <w:b/>
          <w:bCs/>
          <w:color w:val="001432" w:themeColor="text1"/>
          <w:sz w:val="24"/>
          <w:szCs w:val="24"/>
          <w:lang w:val="en-AE"/>
        </w:rPr>
        <w:t xml:space="preserve">AED 1.8 </w:t>
      </w:r>
      <w:r w:rsidR="007B2B1E" w:rsidRPr="003A6C61">
        <w:rPr>
          <w:rFonts w:eastAsia="Times New Roman" w:cstheme="minorHAnsi"/>
          <w:b/>
          <w:bCs/>
          <w:color w:val="001432" w:themeColor="text1"/>
          <w:sz w:val="24"/>
          <w:szCs w:val="24"/>
          <w:lang w:val="en-US"/>
        </w:rPr>
        <w:t>b</w:t>
      </w:r>
      <w:r w:rsidRPr="003A6C61">
        <w:rPr>
          <w:rFonts w:eastAsia="Times New Roman" w:cstheme="minorHAnsi"/>
          <w:b/>
          <w:bCs/>
          <w:color w:val="001432" w:themeColor="text1"/>
          <w:sz w:val="24"/>
          <w:szCs w:val="24"/>
          <w:lang w:val="en-AE"/>
        </w:rPr>
        <w:t>illion</w:t>
      </w:r>
      <w:r w:rsidRPr="003A6C61">
        <w:rPr>
          <w:rFonts w:eastAsia="Times New Roman" w:cstheme="minorHAnsi"/>
          <w:color w:val="001432" w:themeColor="text1"/>
          <w:sz w:val="24"/>
          <w:szCs w:val="24"/>
          <w:lang w:val="en-AE"/>
        </w:rPr>
        <w:t xml:space="preserve"> in a wide array of sectors, including real estate, agriculture, healthcare, food and beverages, utilities, industrial, IT and communications,</w:t>
      </w:r>
      <w:r w:rsidR="00F5142F">
        <w:rPr>
          <w:rFonts w:eastAsia="Times New Roman" w:cstheme="minorHAnsi"/>
          <w:color w:val="001432" w:themeColor="text1"/>
          <w:sz w:val="24"/>
          <w:szCs w:val="24"/>
          <w:lang w:val="en-US"/>
        </w:rPr>
        <w:t xml:space="preserve"> </w:t>
      </w:r>
      <w:r w:rsidRPr="003A6C61">
        <w:rPr>
          <w:rFonts w:eastAsia="Times New Roman" w:cstheme="minorHAnsi"/>
          <w:color w:val="001432" w:themeColor="text1"/>
          <w:sz w:val="24"/>
          <w:szCs w:val="24"/>
          <w:lang w:val="en-AE"/>
        </w:rPr>
        <w:t xml:space="preserve">retail, </w:t>
      </w:r>
      <w:r w:rsidR="003B7E20" w:rsidRPr="003A6C61">
        <w:rPr>
          <w:rFonts w:eastAsia="Times New Roman" w:cstheme="minorHAnsi"/>
          <w:color w:val="001432" w:themeColor="text1"/>
          <w:sz w:val="24"/>
          <w:szCs w:val="24"/>
          <w:lang w:val="en-US"/>
        </w:rPr>
        <w:t xml:space="preserve">entertainment, </w:t>
      </w:r>
      <w:r w:rsidRPr="003A6C61">
        <w:rPr>
          <w:rFonts w:eastAsia="Times New Roman" w:cstheme="minorHAnsi"/>
          <w:color w:val="001432" w:themeColor="text1"/>
          <w:sz w:val="24"/>
          <w:szCs w:val="24"/>
          <w:lang w:val="en-AE"/>
        </w:rPr>
        <w:t>leisure, and capital.</w:t>
      </w:r>
    </w:p>
    <w:p w14:paraId="0B7047B5" w14:textId="77777777" w:rsidR="00AB05F2" w:rsidRPr="003A6C61" w:rsidRDefault="00AB05F2" w:rsidP="005E24EC">
      <w:pPr>
        <w:spacing w:after="0"/>
        <w:jc w:val="both"/>
        <w:rPr>
          <w:rFonts w:cstheme="minorHAnsi"/>
          <w:color w:val="001432" w:themeColor="text1"/>
          <w:sz w:val="24"/>
          <w:szCs w:val="24"/>
          <w:lang w:val="en-US"/>
        </w:rPr>
      </w:pPr>
    </w:p>
    <w:p w14:paraId="6152834E" w14:textId="54855868" w:rsidR="00D10DE3" w:rsidRPr="00AB05F2" w:rsidRDefault="00D10DE3" w:rsidP="005E24EC">
      <w:pPr>
        <w:spacing w:after="0"/>
        <w:jc w:val="both"/>
        <w:rPr>
          <w:rFonts w:cstheme="minorHAnsi"/>
          <w:color w:val="001432" w:themeColor="text1"/>
          <w:sz w:val="24"/>
          <w:szCs w:val="24"/>
          <w:lang w:val="en-US"/>
        </w:rPr>
      </w:pPr>
      <w:r w:rsidRPr="003A6C61">
        <w:rPr>
          <w:rFonts w:cstheme="minorHAnsi"/>
          <w:color w:val="001432" w:themeColor="text1"/>
          <w:sz w:val="24"/>
          <w:szCs w:val="24"/>
          <w:lang w:val="en-US"/>
        </w:rPr>
        <w:t>IHC</w:t>
      </w:r>
      <w:r w:rsidR="007D2BC8" w:rsidRPr="003A6C61">
        <w:rPr>
          <w:rFonts w:cstheme="minorHAnsi"/>
          <w:color w:val="001432" w:themeColor="text1"/>
          <w:sz w:val="24"/>
          <w:szCs w:val="24"/>
          <w:lang w:val="en-US"/>
        </w:rPr>
        <w:t>’s</w:t>
      </w:r>
      <w:r w:rsidRPr="003A6C61">
        <w:rPr>
          <w:rFonts w:cstheme="minorHAnsi"/>
          <w:color w:val="001432" w:themeColor="text1"/>
          <w:sz w:val="24"/>
          <w:szCs w:val="24"/>
          <w:lang w:val="en-US"/>
        </w:rPr>
        <w:t xml:space="preserve"> </w:t>
      </w:r>
      <w:r w:rsidR="00D72B3B" w:rsidRPr="003A6C61">
        <w:rPr>
          <w:rFonts w:cstheme="minorHAnsi"/>
          <w:color w:val="001432" w:themeColor="text1"/>
          <w:sz w:val="24"/>
          <w:szCs w:val="24"/>
          <w:lang w:val="en-US"/>
        </w:rPr>
        <w:t xml:space="preserve">eight </w:t>
      </w:r>
      <w:r w:rsidRPr="003A6C61">
        <w:rPr>
          <w:rFonts w:cstheme="minorHAnsi"/>
          <w:color w:val="001432" w:themeColor="text1"/>
          <w:sz w:val="24"/>
          <w:szCs w:val="24"/>
          <w:lang w:val="en-US"/>
        </w:rPr>
        <w:t>listed companies show</w:t>
      </w:r>
      <w:r w:rsidR="00D81656" w:rsidRPr="003A6C61">
        <w:rPr>
          <w:rFonts w:cstheme="minorHAnsi"/>
          <w:color w:val="001432" w:themeColor="text1"/>
          <w:sz w:val="24"/>
          <w:szCs w:val="24"/>
          <w:lang w:val="en-US"/>
        </w:rPr>
        <w:t xml:space="preserve"> consistently</w:t>
      </w:r>
      <w:r w:rsidRPr="003A6C61">
        <w:rPr>
          <w:rFonts w:cstheme="minorHAnsi"/>
          <w:color w:val="001432" w:themeColor="text1"/>
          <w:sz w:val="24"/>
          <w:szCs w:val="24"/>
          <w:lang w:val="en-US"/>
        </w:rPr>
        <w:t xml:space="preserve"> </w:t>
      </w:r>
      <w:r w:rsidR="008D1DCB" w:rsidRPr="003A6C61">
        <w:rPr>
          <w:rFonts w:cstheme="minorHAnsi"/>
          <w:color w:val="001432" w:themeColor="text1"/>
          <w:sz w:val="24"/>
          <w:szCs w:val="24"/>
          <w:lang w:val="en-US"/>
        </w:rPr>
        <w:t xml:space="preserve">strong returns </w:t>
      </w:r>
      <w:r w:rsidR="00D81656" w:rsidRPr="003A6C61">
        <w:rPr>
          <w:rFonts w:cstheme="minorHAnsi"/>
          <w:color w:val="001432" w:themeColor="text1"/>
          <w:sz w:val="24"/>
          <w:szCs w:val="24"/>
          <w:lang w:val="en-US"/>
        </w:rPr>
        <w:t xml:space="preserve">for shareholders, </w:t>
      </w:r>
      <w:r w:rsidR="0003539E" w:rsidRPr="003A6C61">
        <w:rPr>
          <w:rFonts w:cstheme="minorHAnsi"/>
          <w:color w:val="001432" w:themeColor="text1"/>
          <w:sz w:val="24"/>
          <w:szCs w:val="24"/>
          <w:lang w:val="en-US"/>
        </w:rPr>
        <w:t xml:space="preserve">resulting in a </w:t>
      </w:r>
      <w:r w:rsidR="00CA71E2" w:rsidRPr="003A6C61">
        <w:rPr>
          <w:rFonts w:cstheme="minorHAnsi"/>
          <w:b/>
          <w:bCs/>
          <w:color w:val="001432" w:themeColor="text1"/>
          <w:sz w:val="24"/>
          <w:szCs w:val="24"/>
          <w:lang w:val="en-US"/>
        </w:rPr>
        <w:t>1.54</w:t>
      </w:r>
      <w:r w:rsidR="00524FDC" w:rsidRPr="003A6C61">
        <w:rPr>
          <w:rFonts w:cstheme="minorHAnsi"/>
          <w:b/>
          <w:bCs/>
          <w:color w:val="001432" w:themeColor="text1"/>
          <w:sz w:val="24"/>
          <w:szCs w:val="24"/>
          <w:lang w:val="en-US"/>
        </w:rPr>
        <w:t xml:space="preserve"> </w:t>
      </w:r>
      <w:r w:rsidR="0003539E" w:rsidRPr="003A6C61">
        <w:rPr>
          <w:rFonts w:cstheme="minorHAnsi"/>
          <w:color w:val="001432" w:themeColor="text1"/>
          <w:sz w:val="24"/>
          <w:szCs w:val="24"/>
          <w:lang w:val="en-US"/>
        </w:rPr>
        <w:t>gain o</w:t>
      </w:r>
      <w:r w:rsidR="00F5142F">
        <w:rPr>
          <w:rFonts w:cstheme="minorHAnsi"/>
          <w:color w:val="001432" w:themeColor="text1"/>
          <w:sz w:val="24"/>
          <w:szCs w:val="24"/>
          <w:lang w:val="en-US"/>
        </w:rPr>
        <w:t xml:space="preserve">n </w:t>
      </w:r>
      <w:r w:rsidR="0003539E" w:rsidRPr="003A6C61">
        <w:rPr>
          <w:rFonts w:cstheme="minorHAnsi"/>
          <w:color w:val="001432" w:themeColor="text1"/>
          <w:sz w:val="24"/>
          <w:szCs w:val="24"/>
          <w:lang w:val="en-US"/>
        </w:rPr>
        <w:t>earnings</w:t>
      </w:r>
      <w:r w:rsidR="0003539E" w:rsidRPr="00AB05F2">
        <w:rPr>
          <w:rFonts w:cstheme="minorHAnsi"/>
          <w:color w:val="001432" w:themeColor="text1"/>
          <w:sz w:val="24"/>
          <w:szCs w:val="24"/>
          <w:lang w:val="en-US"/>
        </w:rPr>
        <w:t xml:space="preserve"> per </w:t>
      </w:r>
      <w:r w:rsidR="002123C2" w:rsidRPr="00AB05F2">
        <w:rPr>
          <w:rFonts w:cstheme="minorHAnsi"/>
          <w:color w:val="001432" w:themeColor="text1"/>
          <w:sz w:val="24"/>
          <w:szCs w:val="24"/>
          <w:lang w:val="en-US"/>
        </w:rPr>
        <w:t xml:space="preserve">IHC </w:t>
      </w:r>
      <w:r w:rsidR="0003539E" w:rsidRPr="00AB05F2">
        <w:rPr>
          <w:rFonts w:cstheme="minorHAnsi"/>
          <w:color w:val="001432" w:themeColor="text1"/>
          <w:sz w:val="24"/>
          <w:szCs w:val="24"/>
          <w:lang w:val="en-US"/>
        </w:rPr>
        <w:t>share</w:t>
      </w:r>
      <w:r w:rsidR="005E24EC" w:rsidRPr="00AB05F2">
        <w:rPr>
          <w:rFonts w:cstheme="minorHAnsi"/>
          <w:color w:val="001432" w:themeColor="text1"/>
          <w:sz w:val="24"/>
          <w:szCs w:val="24"/>
          <w:lang w:val="en-US"/>
        </w:rPr>
        <w:t xml:space="preserve"> </w:t>
      </w:r>
      <w:r w:rsidR="005E24EC" w:rsidRPr="003A6C61">
        <w:rPr>
          <w:rFonts w:cstheme="minorHAnsi"/>
          <w:color w:val="001432" w:themeColor="text1"/>
          <w:sz w:val="24"/>
          <w:szCs w:val="24"/>
          <w:lang w:val="en-US"/>
        </w:rPr>
        <w:t xml:space="preserve">from </w:t>
      </w:r>
      <w:r w:rsidR="005E24EC" w:rsidRPr="003A6C61">
        <w:rPr>
          <w:rFonts w:cstheme="minorHAnsi"/>
          <w:b/>
          <w:bCs/>
          <w:color w:val="001432" w:themeColor="text1"/>
          <w:sz w:val="24"/>
          <w:szCs w:val="24"/>
          <w:lang w:val="en-US"/>
        </w:rPr>
        <w:t xml:space="preserve">AED </w:t>
      </w:r>
      <w:r w:rsidR="00CA71E2" w:rsidRPr="003A6C61">
        <w:rPr>
          <w:rFonts w:cstheme="minorHAnsi"/>
          <w:b/>
          <w:bCs/>
          <w:color w:val="001432" w:themeColor="text1"/>
          <w:sz w:val="24"/>
          <w:szCs w:val="24"/>
          <w:lang w:val="en-US"/>
        </w:rPr>
        <w:t>0.88</w:t>
      </w:r>
      <w:r w:rsidR="005E24EC" w:rsidRPr="003A6C61">
        <w:rPr>
          <w:rFonts w:cstheme="minorHAnsi"/>
          <w:b/>
          <w:bCs/>
          <w:color w:val="001432" w:themeColor="text1"/>
          <w:sz w:val="24"/>
          <w:szCs w:val="24"/>
          <w:lang w:val="en-US"/>
        </w:rPr>
        <w:t xml:space="preserve"> in Q1 202</w:t>
      </w:r>
      <w:r w:rsidR="00AB05F2" w:rsidRPr="003A6C61">
        <w:rPr>
          <w:rFonts w:cstheme="minorHAnsi"/>
          <w:b/>
          <w:bCs/>
          <w:color w:val="001432" w:themeColor="text1"/>
          <w:sz w:val="24"/>
          <w:szCs w:val="24"/>
          <w:lang w:val="en-US"/>
        </w:rPr>
        <w:t>2</w:t>
      </w:r>
      <w:r w:rsidR="00AB05F2" w:rsidRPr="003A6C61">
        <w:rPr>
          <w:rFonts w:cstheme="minorHAnsi"/>
          <w:color w:val="001432" w:themeColor="text1"/>
          <w:sz w:val="24"/>
          <w:szCs w:val="24"/>
          <w:lang w:val="en-US"/>
        </w:rPr>
        <w:t xml:space="preserve"> </w:t>
      </w:r>
      <w:r w:rsidR="005E24EC" w:rsidRPr="003A6C61">
        <w:rPr>
          <w:rFonts w:cstheme="minorHAnsi"/>
          <w:color w:val="001432" w:themeColor="text1"/>
          <w:sz w:val="24"/>
          <w:szCs w:val="24"/>
          <w:lang w:val="en-US"/>
        </w:rPr>
        <w:t xml:space="preserve">to </w:t>
      </w:r>
      <w:r w:rsidR="005E24EC" w:rsidRPr="003A6C61">
        <w:rPr>
          <w:rFonts w:cstheme="minorHAnsi"/>
          <w:b/>
          <w:bCs/>
          <w:color w:val="001432" w:themeColor="text1"/>
          <w:sz w:val="24"/>
          <w:szCs w:val="24"/>
          <w:lang w:val="en-US"/>
        </w:rPr>
        <w:t xml:space="preserve">AED </w:t>
      </w:r>
      <w:r w:rsidR="00D221CA" w:rsidRPr="003A6C61">
        <w:rPr>
          <w:rFonts w:cstheme="minorHAnsi"/>
          <w:b/>
          <w:bCs/>
          <w:color w:val="001432" w:themeColor="text1"/>
          <w:sz w:val="24"/>
          <w:szCs w:val="24"/>
          <w:lang w:val="en-US"/>
        </w:rPr>
        <w:t>2.42</w:t>
      </w:r>
      <w:r w:rsidR="00AB05F2" w:rsidRPr="003A6C61">
        <w:rPr>
          <w:rFonts w:cstheme="minorHAnsi"/>
          <w:b/>
          <w:bCs/>
          <w:color w:val="001432" w:themeColor="text1"/>
          <w:sz w:val="24"/>
          <w:szCs w:val="24"/>
          <w:lang w:val="en-US"/>
        </w:rPr>
        <w:t xml:space="preserve"> </w:t>
      </w:r>
      <w:proofErr w:type="spellStart"/>
      <w:r w:rsidR="005E24EC" w:rsidRPr="003A6C61">
        <w:rPr>
          <w:rFonts w:cstheme="minorHAnsi"/>
          <w:color w:val="001432" w:themeColor="text1"/>
          <w:sz w:val="24"/>
          <w:szCs w:val="24"/>
          <w:lang w:val="en-US"/>
        </w:rPr>
        <w:t>fils</w:t>
      </w:r>
      <w:proofErr w:type="spellEnd"/>
      <w:r w:rsidR="005E24EC" w:rsidRPr="00AB05F2">
        <w:rPr>
          <w:rFonts w:cstheme="minorHAnsi"/>
          <w:color w:val="001432" w:themeColor="text1"/>
          <w:sz w:val="24"/>
          <w:szCs w:val="24"/>
          <w:lang w:val="en-US"/>
        </w:rPr>
        <w:t xml:space="preserve"> in the first </w:t>
      </w:r>
      <w:r w:rsidR="00D221CA">
        <w:rPr>
          <w:rFonts w:cstheme="minorHAnsi"/>
          <w:color w:val="001432" w:themeColor="text1"/>
          <w:sz w:val="24"/>
          <w:szCs w:val="24"/>
          <w:lang w:val="en-US"/>
        </w:rPr>
        <w:t xml:space="preserve">Half </w:t>
      </w:r>
      <w:r w:rsidR="005E24EC" w:rsidRPr="00AB05F2">
        <w:rPr>
          <w:rFonts w:cstheme="minorHAnsi"/>
          <w:color w:val="001432" w:themeColor="text1"/>
          <w:sz w:val="24"/>
          <w:szCs w:val="24"/>
          <w:lang w:val="en-US"/>
        </w:rPr>
        <w:t xml:space="preserve">of 2022. </w:t>
      </w:r>
      <w:r w:rsidR="009719B5" w:rsidRPr="00AB05F2">
        <w:rPr>
          <w:rFonts w:cstheme="minorHAnsi"/>
          <w:color w:val="001432" w:themeColor="text1"/>
          <w:sz w:val="24"/>
          <w:szCs w:val="24"/>
          <w:lang w:val="en-US"/>
        </w:rPr>
        <w:t xml:space="preserve"> </w:t>
      </w:r>
    </w:p>
    <w:p w14:paraId="245D74ED" w14:textId="77777777" w:rsidR="00574B33" w:rsidRPr="00AB05F2" w:rsidRDefault="00574B33" w:rsidP="00574B33">
      <w:pPr>
        <w:spacing w:after="0"/>
        <w:jc w:val="center"/>
        <w:rPr>
          <w:rFonts w:cstheme="minorHAnsi"/>
          <w:b/>
          <w:bCs/>
          <w:color w:val="001432" w:themeColor="text1"/>
          <w:sz w:val="21"/>
          <w:szCs w:val="21"/>
          <w:lang w:val="en-US"/>
        </w:rPr>
      </w:pPr>
      <w:r w:rsidRPr="00AB05F2">
        <w:rPr>
          <w:rFonts w:cstheme="minorHAnsi"/>
          <w:b/>
          <w:bCs/>
          <w:color w:val="001432" w:themeColor="text1"/>
          <w:sz w:val="21"/>
          <w:szCs w:val="21"/>
          <w:lang w:val="en-US"/>
        </w:rPr>
        <w:t>--- ENDS ---</w:t>
      </w:r>
    </w:p>
    <w:bookmarkEnd w:id="0"/>
    <w:p w14:paraId="2F8E3D38" w14:textId="633AD78E" w:rsidR="007925D8" w:rsidRDefault="007925D8" w:rsidP="000E6129">
      <w:pPr>
        <w:spacing w:after="0"/>
        <w:jc w:val="both"/>
        <w:rPr>
          <w:rFonts w:cstheme="minorHAnsi"/>
          <w:sz w:val="24"/>
          <w:szCs w:val="24"/>
          <w:lang w:val="en-US"/>
        </w:rPr>
      </w:pPr>
    </w:p>
    <w:p w14:paraId="636C41E5" w14:textId="4B28C9D4" w:rsidR="00871AB2" w:rsidRDefault="00871AB2" w:rsidP="000E6129">
      <w:pPr>
        <w:spacing w:after="0"/>
        <w:jc w:val="both"/>
        <w:rPr>
          <w:rFonts w:cstheme="minorHAnsi"/>
          <w:sz w:val="24"/>
          <w:szCs w:val="24"/>
          <w:lang w:val="en-US"/>
        </w:rPr>
      </w:pPr>
    </w:p>
    <w:p w14:paraId="761C1B95" w14:textId="2F5B1F96" w:rsidR="00871AB2" w:rsidRDefault="00871AB2" w:rsidP="000E6129">
      <w:pPr>
        <w:spacing w:after="0"/>
        <w:jc w:val="both"/>
        <w:rPr>
          <w:rFonts w:cstheme="minorHAnsi"/>
          <w:sz w:val="24"/>
          <w:szCs w:val="24"/>
          <w:lang w:val="en-US"/>
        </w:rPr>
      </w:pPr>
    </w:p>
    <w:p w14:paraId="2FB149F5" w14:textId="77777777" w:rsidR="00871AB2" w:rsidRPr="00654C21" w:rsidRDefault="00871AB2" w:rsidP="00871AB2">
      <w:pPr>
        <w:spacing w:after="0"/>
        <w:jc w:val="both"/>
        <w:rPr>
          <w:rFonts w:eastAsia="Segoe UI Light" w:cstheme="minorHAnsi"/>
          <w:b/>
          <w:bCs/>
        </w:rPr>
      </w:pPr>
      <w:r w:rsidRPr="00654C21">
        <w:rPr>
          <w:rFonts w:eastAsia="Segoe UI Light" w:cstheme="minorHAnsi"/>
          <w:b/>
          <w:bCs/>
        </w:rPr>
        <w:t>About International Holding Company</w:t>
      </w:r>
      <w:r>
        <w:rPr>
          <w:rFonts w:eastAsia="Segoe UI Light" w:cstheme="minorHAnsi"/>
          <w:b/>
          <w:bCs/>
        </w:rPr>
        <w:t xml:space="preserve"> (IHC)</w:t>
      </w:r>
    </w:p>
    <w:p w14:paraId="3F6F067C" w14:textId="2F56443B" w:rsidR="00871AB2" w:rsidRPr="003A6C61" w:rsidRDefault="00871AB2" w:rsidP="00871AB2">
      <w:pPr>
        <w:spacing w:after="0"/>
        <w:jc w:val="both"/>
        <w:rPr>
          <w:lang w:val="en-AE"/>
        </w:rPr>
      </w:pPr>
      <w:r w:rsidRPr="00654C21">
        <w:rPr>
          <w:lang w:val="en-AE"/>
        </w:rPr>
        <w:t xml:space="preserve">IHC was founded in 1998, as part of an initiative to diversify and </w:t>
      </w:r>
      <w:r w:rsidRPr="00654C21">
        <w:rPr>
          <w:rFonts w:eastAsia="Times New Roman" w:cstheme="minorHAnsi"/>
          <w:lang w:val="en-AE"/>
        </w:rPr>
        <w:t>develop</w:t>
      </w:r>
      <w:r w:rsidRPr="00654C21">
        <w:rPr>
          <w:lang w:val="en-AE"/>
        </w:rPr>
        <w:t xml:space="preserve"> non-oil business sectors in the UAE</w:t>
      </w:r>
      <w:r w:rsidRPr="00654C21">
        <w:rPr>
          <w:rFonts w:eastAsia="Times New Roman" w:cstheme="minorHAnsi"/>
          <w:lang w:val="en-AE"/>
        </w:rPr>
        <w:t xml:space="preserve">, </w:t>
      </w:r>
      <w:r w:rsidRPr="003A6C61">
        <w:rPr>
          <w:rFonts w:eastAsia="Times New Roman" w:cstheme="minorHAnsi"/>
          <w:lang w:val="en-AE"/>
        </w:rPr>
        <w:t>and has grown</w:t>
      </w:r>
      <w:r w:rsidRPr="003A6C61">
        <w:rPr>
          <w:lang w:val="en-AE"/>
        </w:rPr>
        <w:t xml:space="preserve"> to </w:t>
      </w:r>
      <w:r w:rsidRPr="003A6C61">
        <w:rPr>
          <w:rFonts w:eastAsia="Times New Roman" w:cstheme="minorHAnsi"/>
          <w:lang w:val="en-AE"/>
        </w:rPr>
        <w:t>become</w:t>
      </w:r>
      <w:r w:rsidRPr="003A6C61">
        <w:rPr>
          <w:lang w:val="en-AE"/>
        </w:rPr>
        <w:t xml:space="preserve"> the </w:t>
      </w:r>
      <w:r w:rsidRPr="003A6C61">
        <w:rPr>
          <w:rFonts w:eastAsia="Times New Roman" w:cstheme="minorHAnsi"/>
          <w:lang w:val="en-AE"/>
        </w:rPr>
        <w:t>most valuable</w:t>
      </w:r>
      <w:r w:rsidRPr="003A6C61">
        <w:rPr>
          <w:lang w:val="en-AE"/>
        </w:rPr>
        <w:t xml:space="preserve"> listed</w:t>
      </w:r>
      <w:r w:rsidRPr="003A6C61">
        <w:rPr>
          <w:rFonts w:eastAsia="Times New Roman" w:cstheme="minorHAnsi"/>
          <w:lang w:val="en-AE"/>
        </w:rPr>
        <w:t xml:space="preserve"> holding company in the Middle East </w:t>
      </w:r>
      <w:r w:rsidRPr="003A6C61">
        <w:rPr>
          <w:rFonts w:eastAsia="Times New Roman" w:cstheme="minorHAnsi"/>
          <w:lang w:val="en-US"/>
        </w:rPr>
        <w:t xml:space="preserve">with a market cap of </w:t>
      </w:r>
      <w:r w:rsidR="00C41034" w:rsidRPr="00C41034">
        <w:rPr>
          <w:rFonts w:eastAsia="Times New Roman" w:cstheme="minorHAnsi"/>
          <w:b/>
          <w:bCs/>
          <w:lang w:val="en-US"/>
        </w:rPr>
        <w:t>AED</w:t>
      </w:r>
      <w:r w:rsidRPr="00C41034">
        <w:rPr>
          <w:rFonts w:eastAsia="Times New Roman" w:cstheme="minorHAnsi"/>
          <w:b/>
          <w:bCs/>
          <w:lang w:val="en-US"/>
        </w:rPr>
        <w:t xml:space="preserve"> </w:t>
      </w:r>
      <w:r w:rsidR="00C41034" w:rsidRPr="00C41034">
        <w:rPr>
          <w:rFonts w:eastAsia="Times New Roman" w:cstheme="minorHAnsi"/>
          <w:b/>
          <w:bCs/>
          <w:lang w:val="en-US"/>
        </w:rPr>
        <w:t xml:space="preserve">619 </w:t>
      </w:r>
      <w:r w:rsidRPr="00C41034">
        <w:rPr>
          <w:rFonts w:eastAsia="Times New Roman" w:cstheme="minorHAnsi"/>
          <w:b/>
          <w:bCs/>
          <w:lang w:val="en-US"/>
        </w:rPr>
        <w:t>billion</w:t>
      </w:r>
      <w:r w:rsidR="00DF6212" w:rsidRPr="003A6C61">
        <w:rPr>
          <w:rFonts w:eastAsia="Times New Roman" w:cstheme="minorHAnsi"/>
          <w:b/>
          <w:bCs/>
          <w:lang w:val="en-US"/>
        </w:rPr>
        <w:t xml:space="preserve"> as of 30 June 2022</w:t>
      </w:r>
      <w:r w:rsidRPr="003A6C61">
        <w:rPr>
          <w:rFonts w:eastAsia="Times New Roman" w:cstheme="minorHAnsi"/>
          <w:b/>
          <w:bCs/>
          <w:lang w:val="en-AE"/>
        </w:rPr>
        <w:t>.</w:t>
      </w:r>
      <w:r w:rsidRPr="003A6C61">
        <w:rPr>
          <w:rFonts w:eastAsia="Times New Roman" w:cstheme="minorHAnsi"/>
          <w:lang w:val="en-AE"/>
        </w:rPr>
        <w:t xml:space="preserve"> The</w:t>
      </w:r>
      <w:r w:rsidRPr="003A6C61">
        <w:rPr>
          <w:lang w:val="en-AE"/>
        </w:rPr>
        <w:t xml:space="preserve"> company endeavours to implement sustainability, innovation, and economic diversification initiatives across what is now one of the region’s largest conglomerates. IHC is included in FTSE ADX 15 Index (FADX 15), which represents the top 15 largest and most liquid companies on the ADX.</w:t>
      </w:r>
    </w:p>
    <w:p w14:paraId="21588BA8" w14:textId="77777777" w:rsidR="00871AB2" w:rsidRPr="003A6C61" w:rsidRDefault="00871AB2" w:rsidP="00871AB2">
      <w:pPr>
        <w:spacing w:after="0"/>
        <w:jc w:val="both"/>
        <w:rPr>
          <w:rFonts w:eastAsia="Segoe UI Light" w:cstheme="minorHAnsi"/>
        </w:rPr>
      </w:pPr>
    </w:p>
    <w:p w14:paraId="5CF25FE1" w14:textId="658DDAF2" w:rsidR="00871AB2" w:rsidRPr="00654C21" w:rsidRDefault="00871AB2" w:rsidP="00871AB2">
      <w:pPr>
        <w:spacing w:after="0"/>
        <w:jc w:val="both"/>
        <w:rPr>
          <w:rFonts w:eastAsia="Segoe UI Light" w:cstheme="minorHAnsi"/>
        </w:rPr>
      </w:pPr>
      <w:r w:rsidRPr="003A6C61">
        <w:rPr>
          <w:rFonts w:eastAsia="Segoe UI Light" w:cstheme="minorHAnsi"/>
        </w:rPr>
        <w:t xml:space="preserve">IHC has a clear objective of enhancing its portfolio through acquisitions, strategic investments, and business combinations. Comprising more than </w:t>
      </w:r>
      <w:r w:rsidR="00E879C1" w:rsidRPr="00E879C1">
        <w:rPr>
          <w:rFonts w:eastAsia="Segoe UI Light" w:cstheme="minorHAnsi"/>
          <w:b/>
          <w:bCs/>
        </w:rPr>
        <w:t>372</w:t>
      </w:r>
      <w:r w:rsidRPr="00E879C1">
        <w:rPr>
          <w:rFonts w:eastAsia="Segoe UI Light" w:cstheme="minorHAnsi"/>
          <w:b/>
          <w:bCs/>
        </w:rPr>
        <w:t xml:space="preserve"> </w:t>
      </w:r>
      <w:r w:rsidR="00E879C1" w:rsidRPr="00E879C1">
        <w:rPr>
          <w:rFonts w:eastAsia="Segoe UI Light" w:cstheme="minorHAnsi"/>
          <w:b/>
          <w:bCs/>
        </w:rPr>
        <w:t>subsidiaries</w:t>
      </w:r>
      <w:r w:rsidRPr="003A6C61">
        <w:rPr>
          <w:rFonts w:eastAsia="Segoe UI Light" w:cstheme="minorHAnsi"/>
        </w:rPr>
        <w:t xml:space="preserve"> and </w:t>
      </w:r>
      <w:r w:rsidR="007B2B1E" w:rsidRPr="003A6C61">
        <w:rPr>
          <w:rFonts w:eastAsia="Times New Roman" w:cstheme="minorHAnsi"/>
          <w:b/>
          <w:bCs/>
          <w:lang w:val="en-US"/>
        </w:rPr>
        <w:t>5</w:t>
      </w:r>
      <w:r w:rsidRPr="003A6C61">
        <w:rPr>
          <w:rFonts w:eastAsia="Times New Roman" w:cstheme="minorHAnsi"/>
          <w:b/>
          <w:bCs/>
          <w:lang w:val="en-US"/>
        </w:rPr>
        <w:t>2,345 employees</w:t>
      </w:r>
      <w:r w:rsidRPr="003A6C61">
        <w:rPr>
          <w:rFonts w:eastAsia="Times New Roman" w:cstheme="minorHAnsi"/>
          <w:lang w:val="en-US"/>
        </w:rPr>
        <w:t>,</w:t>
      </w:r>
      <w:r w:rsidRPr="003A6C61">
        <w:rPr>
          <w:rFonts w:eastAsia="Segoe UI Light" w:cstheme="minorHAnsi"/>
        </w:rPr>
        <w:t xml:space="preserve"> IHC</w:t>
      </w:r>
      <w:r w:rsidRPr="00654C21">
        <w:rPr>
          <w:rFonts w:eastAsia="Segoe UI Light" w:cstheme="minorHAnsi"/>
        </w:rPr>
        <w:t xml:space="preserve"> seeks to expand and diversify its holdings across a growing number of sectors, including Real Estate,</w:t>
      </w:r>
      <w:r w:rsidR="00B62060">
        <w:rPr>
          <w:rFonts w:eastAsia="Segoe UI Light" w:cstheme="minorHAnsi"/>
        </w:rPr>
        <w:t xml:space="preserve"> </w:t>
      </w:r>
      <w:r w:rsidRPr="00654C21">
        <w:rPr>
          <w:rFonts w:eastAsia="Segoe UI Light" w:cstheme="minorHAnsi"/>
        </w:rPr>
        <w:t>Healthcare, Food and Beverage, Utilities, Industries, IT and Communications, Retail and Leisure, and Capital.</w:t>
      </w:r>
    </w:p>
    <w:p w14:paraId="59552F40" w14:textId="77777777" w:rsidR="00871AB2" w:rsidRPr="00654C21" w:rsidRDefault="00871AB2" w:rsidP="00871AB2">
      <w:pPr>
        <w:spacing w:after="0"/>
        <w:jc w:val="both"/>
        <w:rPr>
          <w:rFonts w:eastAsia="Segoe UI Light" w:cstheme="minorHAnsi"/>
        </w:rPr>
      </w:pPr>
    </w:p>
    <w:p w14:paraId="34029566" w14:textId="77777777" w:rsidR="00871AB2" w:rsidRPr="00654C21" w:rsidRDefault="00871AB2" w:rsidP="00871AB2">
      <w:pPr>
        <w:spacing w:after="0"/>
        <w:jc w:val="both"/>
        <w:rPr>
          <w:rFonts w:ascii="Segoe UI Light" w:hAnsi="Segoe UI Light"/>
        </w:rPr>
      </w:pPr>
      <w:r w:rsidRPr="00654C21">
        <w:rPr>
          <w:rFonts w:eastAsia="Segoe UI Light" w:cstheme="minorHAnsi"/>
        </w:rPr>
        <w:t>With a core strategy to enhance shareholder value and achieve growth, IHC drives operational synergies and maximizes cost efficiencies across all verticals – it also continues to evaluate investment opportunities through direct ownership and entering partnerships in the UAE and abroad. As the world changes, and new opportunities arise, IHC remains focused on resilience, innovation and redefining the marketplace for itself, its clients, and partners.</w:t>
      </w:r>
    </w:p>
    <w:p w14:paraId="55D78C17" w14:textId="1CD9CC0A" w:rsidR="00871AB2" w:rsidRDefault="00871AB2" w:rsidP="000E6129">
      <w:pPr>
        <w:spacing w:after="0"/>
        <w:jc w:val="both"/>
        <w:rPr>
          <w:rFonts w:cstheme="minorHAnsi"/>
          <w:sz w:val="24"/>
          <w:szCs w:val="24"/>
          <w:lang w:val="en-US"/>
        </w:rPr>
      </w:pPr>
    </w:p>
    <w:p w14:paraId="3248ECC2" w14:textId="77777777" w:rsidR="00871AB2" w:rsidRPr="00654C21" w:rsidRDefault="00871AB2" w:rsidP="00871AB2">
      <w:pPr>
        <w:spacing w:after="0"/>
        <w:rPr>
          <w:rFonts w:ascii="Segoe UI Light" w:eastAsia="Segoe UI Light" w:hAnsi="Segoe UI Light" w:cs="Times New Roman"/>
          <w:b/>
          <w:bCs/>
        </w:rPr>
      </w:pPr>
      <w:r w:rsidRPr="00654C21">
        <w:rPr>
          <w:rFonts w:ascii="Segoe UI Light" w:eastAsia="Segoe UI Light" w:hAnsi="Segoe UI Light" w:cs="Times New Roman"/>
          <w:b/>
          <w:bCs/>
        </w:rPr>
        <w:t>Media Contacts:</w:t>
      </w:r>
    </w:p>
    <w:p w14:paraId="32AF9955" w14:textId="77777777" w:rsidR="00871AB2" w:rsidRPr="00654C21" w:rsidRDefault="00871AB2" w:rsidP="00871AB2">
      <w:pPr>
        <w:spacing w:after="0"/>
        <w:rPr>
          <w:rFonts w:ascii="Segoe UI Light" w:eastAsia="Segoe UI Light" w:hAnsi="Segoe UI Light" w:cs="Times New Roman"/>
          <w:b/>
          <w:bCs/>
        </w:rPr>
      </w:pPr>
    </w:p>
    <w:p w14:paraId="159A16F7" w14:textId="77777777" w:rsidR="00871AB2" w:rsidRPr="00654C21" w:rsidRDefault="00871AB2" w:rsidP="00871AB2">
      <w:pPr>
        <w:spacing w:after="0"/>
        <w:jc w:val="both"/>
        <w:rPr>
          <w:rFonts w:ascii="Segoe UI Light" w:eastAsia="Segoe UI Light" w:hAnsi="Segoe UI Light" w:cs="Segoe UI Light"/>
          <w:b/>
          <w:bCs/>
        </w:rPr>
      </w:pPr>
      <w:r w:rsidRPr="00654C21">
        <w:rPr>
          <w:rFonts w:ascii="Segoe UI Light" w:eastAsia="Segoe UI Light" w:hAnsi="Segoe UI Light" w:cs="Segoe UI Light"/>
          <w:b/>
          <w:bCs/>
        </w:rPr>
        <w:t xml:space="preserve">Ahmad Ibrahim </w:t>
      </w:r>
    </w:p>
    <w:p w14:paraId="536FC757" w14:textId="77777777" w:rsidR="00871AB2" w:rsidRPr="00654C21" w:rsidRDefault="00871AB2" w:rsidP="00871AB2">
      <w:pPr>
        <w:spacing w:after="0"/>
        <w:jc w:val="both"/>
        <w:rPr>
          <w:rFonts w:ascii="Segoe UI Light" w:eastAsia="Segoe UI Light" w:hAnsi="Segoe UI Light" w:cs="Segoe UI Light"/>
        </w:rPr>
      </w:pPr>
      <w:r w:rsidRPr="00F31F29">
        <w:rPr>
          <w:rFonts w:eastAsia="Segoe UI Light" w:cstheme="minorHAnsi"/>
          <w:color w:val="001432" w:themeColor="text1"/>
        </w:rPr>
        <w:t xml:space="preserve">Head of Marketing and Corporate Communication </w:t>
      </w:r>
    </w:p>
    <w:p w14:paraId="023F24A2" w14:textId="77777777" w:rsidR="00871AB2" w:rsidRPr="00654C21" w:rsidRDefault="00871AB2" w:rsidP="00871AB2">
      <w:pPr>
        <w:spacing w:after="0"/>
        <w:jc w:val="both"/>
        <w:rPr>
          <w:rFonts w:ascii="Segoe UI Light" w:eastAsia="Segoe UI Light" w:hAnsi="Segoe UI Light" w:cs="Segoe UI Light"/>
        </w:rPr>
      </w:pPr>
      <w:r w:rsidRPr="00654C21">
        <w:rPr>
          <w:rFonts w:ascii="Segoe UI Light" w:eastAsia="Segoe UI Light" w:hAnsi="Segoe UI Light" w:cs="Segoe UI Light"/>
        </w:rPr>
        <w:t xml:space="preserve">International Holding Company </w:t>
      </w:r>
    </w:p>
    <w:p w14:paraId="4B6D0E07" w14:textId="77777777" w:rsidR="00871AB2" w:rsidRPr="00654C21" w:rsidRDefault="00DE1B5E" w:rsidP="00871AB2">
      <w:pPr>
        <w:spacing w:line="276" w:lineRule="auto"/>
        <w:jc w:val="both"/>
        <w:rPr>
          <w:rFonts w:ascii="Segoe UI Light" w:eastAsia="Segoe UI Light" w:hAnsi="Segoe UI Light" w:cs="Segoe UI Light"/>
          <w:lang w:val="en-US"/>
        </w:rPr>
      </w:pPr>
      <w:hyperlink r:id="rId11" w:history="1">
        <w:r w:rsidR="00871AB2" w:rsidRPr="00654C21">
          <w:rPr>
            <w:rStyle w:val="Hyperlink"/>
            <w:rFonts w:ascii="Segoe UI Light" w:eastAsia="Segoe UI Light" w:hAnsi="Segoe UI Light" w:cs="Segoe UI Light"/>
            <w:color w:val="auto"/>
          </w:rPr>
          <w:t>ahmad.ibrahim@ihcuae.com</w:t>
        </w:r>
      </w:hyperlink>
    </w:p>
    <w:p w14:paraId="31BFFEB5" w14:textId="77777777" w:rsidR="00871AB2" w:rsidRPr="00654C21" w:rsidRDefault="00871AB2" w:rsidP="00871AB2">
      <w:pPr>
        <w:spacing w:after="0"/>
        <w:jc w:val="both"/>
        <w:rPr>
          <w:rFonts w:cstheme="minorHAnsi"/>
          <w:b/>
          <w:bCs/>
        </w:rPr>
      </w:pPr>
    </w:p>
    <w:p w14:paraId="2D9B4045" w14:textId="77777777" w:rsidR="00871AB2" w:rsidRPr="00654C21" w:rsidRDefault="00871AB2" w:rsidP="00871AB2">
      <w:pPr>
        <w:spacing w:after="0"/>
        <w:jc w:val="both"/>
        <w:rPr>
          <w:rFonts w:cstheme="minorHAnsi"/>
          <w:b/>
          <w:bCs/>
        </w:rPr>
      </w:pPr>
      <w:r w:rsidRPr="00654C21">
        <w:rPr>
          <w:rFonts w:cstheme="minorHAnsi"/>
          <w:b/>
          <w:bCs/>
        </w:rPr>
        <w:t>Gemma Sexton</w:t>
      </w:r>
    </w:p>
    <w:p w14:paraId="37FD5ABA" w14:textId="77777777" w:rsidR="00871AB2" w:rsidRPr="00654C21" w:rsidRDefault="00871AB2" w:rsidP="00871AB2">
      <w:pPr>
        <w:spacing w:after="0"/>
        <w:jc w:val="both"/>
        <w:rPr>
          <w:rFonts w:cstheme="minorHAnsi"/>
        </w:rPr>
      </w:pPr>
      <w:r w:rsidRPr="00654C21">
        <w:rPr>
          <w:rFonts w:cstheme="minorHAnsi"/>
        </w:rPr>
        <w:t>Corporate Communications Manager</w:t>
      </w:r>
    </w:p>
    <w:p w14:paraId="0D8E6C3D" w14:textId="77777777" w:rsidR="00871AB2" w:rsidRPr="00654C21" w:rsidRDefault="00871AB2" w:rsidP="00871AB2">
      <w:pPr>
        <w:spacing w:after="0"/>
        <w:jc w:val="both"/>
        <w:rPr>
          <w:rFonts w:cstheme="minorHAnsi"/>
        </w:rPr>
      </w:pPr>
      <w:r w:rsidRPr="00654C21">
        <w:rPr>
          <w:rFonts w:cstheme="minorHAnsi"/>
        </w:rPr>
        <w:t xml:space="preserve">International Holding Company </w:t>
      </w:r>
    </w:p>
    <w:p w14:paraId="2BDB0B65" w14:textId="77777777" w:rsidR="00871AB2" w:rsidRPr="00654C21" w:rsidRDefault="00DE1B5E" w:rsidP="00871AB2">
      <w:pPr>
        <w:spacing w:line="276" w:lineRule="auto"/>
        <w:jc w:val="both"/>
        <w:rPr>
          <w:u w:val="single"/>
        </w:rPr>
      </w:pPr>
      <w:hyperlink r:id="rId12" w:history="1">
        <w:r w:rsidR="00871AB2" w:rsidRPr="00654C21">
          <w:rPr>
            <w:rStyle w:val="Hyperlink"/>
            <w:rFonts w:cstheme="minorHAnsi"/>
            <w:color w:val="auto"/>
          </w:rPr>
          <w:t>gemma.sexton@ihcuae.com</w:t>
        </w:r>
      </w:hyperlink>
    </w:p>
    <w:p w14:paraId="1ECD6B32" w14:textId="77777777" w:rsidR="00871AB2" w:rsidRPr="00AB05F2" w:rsidRDefault="00871AB2" w:rsidP="000E6129">
      <w:pPr>
        <w:spacing w:after="0"/>
        <w:jc w:val="both"/>
        <w:rPr>
          <w:rFonts w:cstheme="minorHAnsi"/>
          <w:sz w:val="24"/>
          <w:szCs w:val="24"/>
          <w:lang w:val="en-US"/>
        </w:rPr>
      </w:pPr>
    </w:p>
    <w:sectPr w:rsidR="00871AB2" w:rsidRPr="00AB05F2" w:rsidSect="00084C98">
      <w:headerReference w:type="default" r:id="rId13"/>
      <w:footerReference w:type="default" r:id="rId14"/>
      <w:headerReference w:type="first" r:id="rId15"/>
      <w:footerReference w:type="first" r:id="rId16"/>
      <w:pgSz w:w="11907" w:h="16839" w:code="9"/>
      <w:pgMar w:top="2441"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DE553" w14:textId="77777777" w:rsidR="00DE1B5E" w:rsidRDefault="00DE1B5E" w:rsidP="00902929">
      <w:r>
        <w:separator/>
      </w:r>
    </w:p>
  </w:endnote>
  <w:endnote w:type="continuationSeparator" w:id="0">
    <w:p w14:paraId="04A1F3A2" w14:textId="77777777" w:rsidR="00DE1B5E" w:rsidRDefault="00DE1B5E" w:rsidP="0090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Nova">
    <w:panose1 w:val="020B0504020202020204"/>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4A4AD" w14:textId="610FE3F6" w:rsidR="00DE28BC" w:rsidRPr="00353DBF" w:rsidRDefault="00DE1B5E" w:rsidP="00353DBF">
    <w:pPr>
      <w:pStyle w:val="rightalign"/>
    </w:pPr>
    <w:sdt>
      <w:sdtPr>
        <w:id w:val="-1288655925"/>
        <w:docPartObj>
          <w:docPartGallery w:val="Page Numbers (Bottom of Page)"/>
          <w:docPartUnique/>
        </w:docPartObj>
      </w:sdtPr>
      <w:sdtEndPr>
        <w:rPr>
          <w:noProof/>
        </w:rPr>
      </w:sdtEndPr>
      <w:sdtContent>
        <w:r w:rsidR="00353DBF" w:rsidRPr="00902929">
          <w:fldChar w:fldCharType="begin"/>
        </w:r>
        <w:r w:rsidR="00353DBF" w:rsidRPr="00902929">
          <w:instrText xml:space="preserve"> PAGE   \* MERGEFORMAT </w:instrText>
        </w:r>
        <w:r w:rsidR="00353DBF" w:rsidRPr="00902929">
          <w:fldChar w:fldCharType="separate"/>
        </w:r>
        <w:r w:rsidR="00507CC5">
          <w:rPr>
            <w:noProof/>
          </w:rPr>
          <w:t>2</w:t>
        </w:r>
        <w:r w:rsidR="00353DBF" w:rsidRPr="00902929">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206A" w14:textId="04AC8952" w:rsidR="006D30B5" w:rsidRPr="00D21B39" w:rsidRDefault="00DE1B5E" w:rsidP="00D21B39">
    <w:pPr>
      <w:pStyle w:val="Footer"/>
      <w:jc w:val="right"/>
      <w:rPr>
        <w:sz w:val="14"/>
      </w:rPr>
    </w:pPr>
    <w:sdt>
      <w:sdtPr>
        <w:rPr>
          <w:sz w:val="14"/>
        </w:rPr>
        <w:id w:val="-1473213612"/>
        <w:docPartObj>
          <w:docPartGallery w:val="Page Numbers (Bottom of Page)"/>
          <w:docPartUnique/>
        </w:docPartObj>
      </w:sdtPr>
      <w:sdtEndPr>
        <w:rPr>
          <w:noProof/>
        </w:rPr>
      </w:sdtEndPr>
      <w:sdtContent>
        <w:r w:rsidR="00D21B39" w:rsidRPr="001E0ECE">
          <w:rPr>
            <w:sz w:val="14"/>
          </w:rPr>
          <w:fldChar w:fldCharType="begin"/>
        </w:r>
        <w:r w:rsidR="00D21B39" w:rsidRPr="001E0ECE">
          <w:rPr>
            <w:sz w:val="14"/>
          </w:rPr>
          <w:instrText xml:space="preserve"> PAGE   \* MERGEFORMAT </w:instrText>
        </w:r>
        <w:r w:rsidR="00D21B39" w:rsidRPr="001E0ECE">
          <w:rPr>
            <w:sz w:val="14"/>
          </w:rPr>
          <w:fldChar w:fldCharType="separate"/>
        </w:r>
        <w:r w:rsidR="00507CC5">
          <w:rPr>
            <w:noProof/>
            <w:sz w:val="14"/>
          </w:rPr>
          <w:t>1</w:t>
        </w:r>
        <w:r w:rsidR="00D21B39" w:rsidRPr="001E0ECE">
          <w:rPr>
            <w:noProof/>
            <w:sz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1F03A" w14:textId="77777777" w:rsidR="00DE1B5E" w:rsidRDefault="00DE1B5E" w:rsidP="00902929">
      <w:r>
        <w:separator/>
      </w:r>
    </w:p>
  </w:footnote>
  <w:footnote w:type="continuationSeparator" w:id="0">
    <w:p w14:paraId="715925DA" w14:textId="77777777" w:rsidR="00DE1B5E" w:rsidRDefault="00DE1B5E" w:rsidP="00902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036D" w14:textId="1DA2D507" w:rsidR="004C182C" w:rsidRDefault="004C182C" w:rsidP="004C182C">
    <w:pPr>
      <w:spacing w:after="0"/>
      <w:jc w:val="right"/>
      <w:rPr>
        <w:sz w:val="28"/>
        <w:szCs w:val="28"/>
      </w:rPr>
    </w:pPr>
    <w:r>
      <w:rPr>
        <w:noProof/>
        <w:lang w:val="en-US"/>
      </w:rPr>
      <w:drawing>
        <wp:anchor distT="0" distB="0" distL="114300" distR="114300" simplePos="0" relativeHeight="251660288" behindDoc="1" locked="0" layoutInCell="1" allowOverlap="1" wp14:anchorId="541490C6" wp14:editId="75F413DD">
          <wp:simplePos x="0" y="0"/>
          <wp:positionH relativeFrom="column">
            <wp:posOffset>0</wp:posOffset>
          </wp:positionH>
          <wp:positionV relativeFrom="paragraph">
            <wp:posOffset>-73912</wp:posOffset>
          </wp:positionV>
          <wp:extent cx="861545" cy="1006572"/>
          <wp:effectExtent l="0" t="0" r="2540" b="0"/>
          <wp:wrapTight wrapText="bothSides">
            <wp:wrapPolygon edited="0">
              <wp:start x="7646" y="0"/>
              <wp:lineTo x="5735" y="273"/>
              <wp:lineTo x="637" y="3543"/>
              <wp:lineTo x="0" y="5996"/>
              <wp:lineTo x="0" y="21259"/>
              <wp:lineTo x="1593" y="21259"/>
              <wp:lineTo x="15611" y="21259"/>
              <wp:lineTo x="18159" y="21259"/>
              <wp:lineTo x="18478" y="20169"/>
              <wp:lineTo x="17204" y="17444"/>
              <wp:lineTo x="21345" y="13083"/>
              <wp:lineTo x="21345" y="6541"/>
              <wp:lineTo x="20389" y="3816"/>
              <wp:lineTo x="15292" y="273"/>
              <wp:lineTo x="13381" y="0"/>
              <wp:lineTo x="7646" y="0"/>
            </wp:wrapPolygon>
          </wp:wrapTight>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545" cy="1006572"/>
                  </a:xfrm>
                  <a:prstGeom prst="rect">
                    <a:avLst/>
                  </a:prstGeom>
                  <a:noFill/>
                </pic:spPr>
              </pic:pic>
            </a:graphicData>
          </a:graphic>
          <wp14:sizeRelH relativeFrom="page">
            <wp14:pctWidth>0</wp14:pctWidth>
          </wp14:sizeRelH>
          <wp14:sizeRelV relativeFrom="page">
            <wp14:pctHeight>0</wp14:pctHeight>
          </wp14:sizeRelV>
        </wp:anchor>
      </w:drawing>
    </w:r>
  </w:p>
  <w:p w14:paraId="04B5E207" w14:textId="540B503C" w:rsidR="004C182C" w:rsidRDefault="004C182C" w:rsidP="004C182C">
    <w:pPr>
      <w:spacing w:after="0"/>
      <w:jc w:val="right"/>
      <w:rPr>
        <w:sz w:val="28"/>
        <w:szCs w:val="28"/>
      </w:rPr>
    </w:pPr>
  </w:p>
  <w:p w14:paraId="4959BEDD" w14:textId="3B779AE8" w:rsidR="004C182C" w:rsidRPr="00362A9C" w:rsidRDefault="004C182C" w:rsidP="004C182C">
    <w:pPr>
      <w:spacing w:after="0"/>
      <w:jc w:val="right"/>
      <w:rPr>
        <w:sz w:val="28"/>
        <w:szCs w:val="28"/>
      </w:rPr>
    </w:pPr>
    <w:r w:rsidRPr="00E103D0">
      <w:rPr>
        <w:sz w:val="28"/>
        <w:szCs w:val="28"/>
      </w:rPr>
      <w:t>PRESS RELEASE</w:t>
    </w:r>
  </w:p>
  <w:p w14:paraId="127D2404" w14:textId="0C2FB797" w:rsidR="005A79FE" w:rsidRDefault="005A7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6C82" w14:textId="27099616" w:rsidR="009E3A37" w:rsidRDefault="00343EA7" w:rsidP="00A4291C">
    <w:pPr>
      <w:jc w:val="right"/>
      <w:rPr>
        <w:sz w:val="28"/>
        <w:szCs w:val="28"/>
      </w:rPr>
    </w:pPr>
    <w:r>
      <w:rPr>
        <w:noProof/>
        <w:lang w:val="en-US"/>
      </w:rPr>
      <w:drawing>
        <wp:anchor distT="0" distB="0" distL="114300" distR="114300" simplePos="0" relativeHeight="251662336" behindDoc="0" locked="0" layoutInCell="1" allowOverlap="1" wp14:anchorId="482D7B7D" wp14:editId="2EB16002">
          <wp:simplePos x="0" y="0"/>
          <wp:positionH relativeFrom="column">
            <wp:posOffset>4743450</wp:posOffset>
          </wp:positionH>
          <wp:positionV relativeFrom="paragraph">
            <wp:posOffset>133350</wp:posOffset>
          </wp:positionV>
          <wp:extent cx="799179" cy="850900"/>
          <wp:effectExtent l="0" t="0" r="1270" b="0"/>
          <wp:wrapNone/>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8869"/>
                  <a:stretch/>
                </pic:blipFill>
                <pic:spPr bwMode="auto">
                  <a:xfrm>
                    <a:off x="0" y="0"/>
                    <a:ext cx="799179" cy="850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291C" w:rsidRPr="00A4291C">
      <w:rPr>
        <w:sz w:val="28"/>
        <w:szCs w:val="28"/>
      </w:rPr>
      <w:t xml:space="preserve"> </w:t>
    </w:r>
  </w:p>
  <w:p w14:paraId="37341A03" w14:textId="77777777" w:rsidR="00893E7F" w:rsidRDefault="00893E7F" w:rsidP="002953E3">
    <w:pPr>
      <w:spacing w:after="0"/>
      <w:jc w:val="right"/>
      <w:rPr>
        <w:sz w:val="28"/>
        <w:szCs w:val="28"/>
      </w:rPr>
    </w:pPr>
  </w:p>
  <w:p w14:paraId="1C64CDC6" w14:textId="79481FE0" w:rsidR="00893E7F" w:rsidRDefault="00893E7F" w:rsidP="002953E3">
    <w:pPr>
      <w:spacing w:after="0"/>
      <w:jc w:val="right"/>
      <w:rPr>
        <w:sz w:val="28"/>
        <w:szCs w:val="28"/>
      </w:rPr>
    </w:pPr>
  </w:p>
  <w:p w14:paraId="5EFBD314" w14:textId="77777777" w:rsidR="00893E7F" w:rsidRDefault="00893E7F" w:rsidP="002953E3">
    <w:pPr>
      <w:spacing w:after="0"/>
      <w:jc w:val="right"/>
      <w:rPr>
        <w:sz w:val="28"/>
        <w:szCs w:val="28"/>
      </w:rPr>
    </w:pPr>
  </w:p>
  <w:p w14:paraId="3DDA4F6F" w14:textId="2C37B0D7" w:rsidR="00EB56B2" w:rsidRPr="00893E7F" w:rsidRDefault="00893E7F" w:rsidP="002953E3">
    <w:pPr>
      <w:spacing w:after="0"/>
      <w:jc w:val="right"/>
      <w:rPr>
        <w:sz w:val="28"/>
        <w:szCs w:val="28"/>
      </w:rPr>
    </w:pPr>
    <w:r w:rsidRPr="00893E7F">
      <w:rPr>
        <w:sz w:val="28"/>
        <w:szCs w:val="28"/>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1E8B"/>
    <w:multiLevelType w:val="hybridMultilevel"/>
    <w:tmpl w:val="CEF2CF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086AF7"/>
    <w:multiLevelType w:val="hybridMultilevel"/>
    <w:tmpl w:val="6118553A"/>
    <w:lvl w:ilvl="0" w:tplc="820809BA">
      <w:start w:val="5"/>
      <w:numFmt w:val="bullet"/>
      <w:lvlText w:val="-"/>
      <w:lvlJc w:val="left"/>
      <w:pPr>
        <w:ind w:left="720" w:hanging="360"/>
      </w:pPr>
      <w:rPr>
        <w:rFonts w:ascii="Segoe UI Light" w:eastAsia="Times New Roman" w:hAnsi="Segoe UI Light" w:cs="Segoe U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5E095B"/>
    <w:multiLevelType w:val="hybridMultilevel"/>
    <w:tmpl w:val="8182CE14"/>
    <w:lvl w:ilvl="0" w:tplc="6EC03EFA">
      <w:start w:val="1"/>
      <w:numFmt w:val="bullet"/>
      <w:pStyle w:val="Bullets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5E7362"/>
    <w:multiLevelType w:val="hybridMultilevel"/>
    <w:tmpl w:val="9B7688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4260A2"/>
    <w:multiLevelType w:val="hybridMultilevel"/>
    <w:tmpl w:val="7DEA186C"/>
    <w:lvl w:ilvl="0" w:tplc="04090001">
      <w:start w:val="1"/>
      <w:numFmt w:val="bullet"/>
      <w:lvlText w:val=""/>
      <w:lvlJc w:val="left"/>
      <w:pPr>
        <w:ind w:left="360" w:hanging="360"/>
      </w:pPr>
      <w:rPr>
        <w:rFonts w:ascii="Symbol" w:hAnsi="Symbol" w:hint="default"/>
      </w:rPr>
    </w:lvl>
    <w:lvl w:ilvl="1" w:tplc="3DFA23B8">
      <w:numFmt w:val="bullet"/>
      <w:pStyle w:val="bullet2"/>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92A1ACA"/>
    <w:multiLevelType w:val="hybridMultilevel"/>
    <w:tmpl w:val="DB4444DE"/>
    <w:lvl w:ilvl="0" w:tplc="761EBDFC">
      <w:start w:val="1"/>
      <w:numFmt w:val="decimal"/>
      <w:pStyle w:val="ListParagraph"/>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89233165">
    <w:abstractNumId w:val="2"/>
  </w:num>
  <w:num w:numId="2" w16cid:durableId="1649170062">
    <w:abstractNumId w:val="4"/>
  </w:num>
  <w:num w:numId="3" w16cid:durableId="250629899">
    <w:abstractNumId w:val="5"/>
  </w:num>
  <w:num w:numId="4" w16cid:durableId="1358585613">
    <w:abstractNumId w:val="0"/>
  </w:num>
  <w:num w:numId="5" w16cid:durableId="831024006">
    <w:abstractNumId w:val="3"/>
  </w:num>
  <w:num w:numId="6" w16cid:durableId="186779358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13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964"/>
    <w:rsid w:val="00001CD5"/>
    <w:rsid w:val="000023FD"/>
    <w:rsid w:val="00006F90"/>
    <w:rsid w:val="0001197D"/>
    <w:rsid w:val="00013B08"/>
    <w:rsid w:val="000142E8"/>
    <w:rsid w:val="00024D99"/>
    <w:rsid w:val="00025AF8"/>
    <w:rsid w:val="00026A2A"/>
    <w:rsid w:val="00030C35"/>
    <w:rsid w:val="000327B7"/>
    <w:rsid w:val="00032AA5"/>
    <w:rsid w:val="0003539E"/>
    <w:rsid w:val="00036CE6"/>
    <w:rsid w:val="000401E8"/>
    <w:rsid w:val="0004131A"/>
    <w:rsid w:val="00041A8B"/>
    <w:rsid w:val="000452BD"/>
    <w:rsid w:val="0004614C"/>
    <w:rsid w:val="00046B03"/>
    <w:rsid w:val="0004780F"/>
    <w:rsid w:val="000520EE"/>
    <w:rsid w:val="00052B6B"/>
    <w:rsid w:val="00054202"/>
    <w:rsid w:val="00060862"/>
    <w:rsid w:val="000662D1"/>
    <w:rsid w:val="0006686B"/>
    <w:rsid w:val="000724A1"/>
    <w:rsid w:val="000729DD"/>
    <w:rsid w:val="00074480"/>
    <w:rsid w:val="00077544"/>
    <w:rsid w:val="00082705"/>
    <w:rsid w:val="0008350A"/>
    <w:rsid w:val="00084C98"/>
    <w:rsid w:val="00085423"/>
    <w:rsid w:val="00092828"/>
    <w:rsid w:val="00094DEA"/>
    <w:rsid w:val="0009593F"/>
    <w:rsid w:val="00097052"/>
    <w:rsid w:val="000A2861"/>
    <w:rsid w:val="000A3DB2"/>
    <w:rsid w:val="000A4E4C"/>
    <w:rsid w:val="000A4EE0"/>
    <w:rsid w:val="000A5E9B"/>
    <w:rsid w:val="000A6360"/>
    <w:rsid w:val="000B7797"/>
    <w:rsid w:val="000B7CB2"/>
    <w:rsid w:val="000C48E0"/>
    <w:rsid w:val="000C598C"/>
    <w:rsid w:val="000D17F4"/>
    <w:rsid w:val="000D2A5C"/>
    <w:rsid w:val="000D5564"/>
    <w:rsid w:val="000D5618"/>
    <w:rsid w:val="000D5F30"/>
    <w:rsid w:val="000D7A21"/>
    <w:rsid w:val="000E407D"/>
    <w:rsid w:val="000E47AD"/>
    <w:rsid w:val="000E6092"/>
    <w:rsid w:val="000E6129"/>
    <w:rsid w:val="000E6238"/>
    <w:rsid w:val="000F0B77"/>
    <w:rsid w:val="000F0BA8"/>
    <w:rsid w:val="000F0DB5"/>
    <w:rsid w:val="000F37D5"/>
    <w:rsid w:val="000F3D4C"/>
    <w:rsid w:val="001000D6"/>
    <w:rsid w:val="00102B72"/>
    <w:rsid w:val="00102D54"/>
    <w:rsid w:val="00103289"/>
    <w:rsid w:val="001058EE"/>
    <w:rsid w:val="00117895"/>
    <w:rsid w:val="00126841"/>
    <w:rsid w:val="0013090E"/>
    <w:rsid w:val="00131AA0"/>
    <w:rsid w:val="00144F6A"/>
    <w:rsid w:val="001450E9"/>
    <w:rsid w:val="001505CA"/>
    <w:rsid w:val="00152837"/>
    <w:rsid w:val="00153E03"/>
    <w:rsid w:val="00154B3F"/>
    <w:rsid w:val="00156FF6"/>
    <w:rsid w:val="001572E0"/>
    <w:rsid w:val="00157303"/>
    <w:rsid w:val="00160270"/>
    <w:rsid w:val="0016112A"/>
    <w:rsid w:val="00162E4E"/>
    <w:rsid w:val="001642C0"/>
    <w:rsid w:val="0016436A"/>
    <w:rsid w:val="001665A8"/>
    <w:rsid w:val="00166FB1"/>
    <w:rsid w:val="00170F51"/>
    <w:rsid w:val="00172139"/>
    <w:rsid w:val="00182E1E"/>
    <w:rsid w:val="00186FB7"/>
    <w:rsid w:val="001875C9"/>
    <w:rsid w:val="001903B5"/>
    <w:rsid w:val="00192ABC"/>
    <w:rsid w:val="001943AE"/>
    <w:rsid w:val="00195A52"/>
    <w:rsid w:val="0019625A"/>
    <w:rsid w:val="001B1308"/>
    <w:rsid w:val="001B29E3"/>
    <w:rsid w:val="001B6330"/>
    <w:rsid w:val="001B661E"/>
    <w:rsid w:val="001B6958"/>
    <w:rsid w:val="001C7C2F"/>
    <w:rsid w:val="001D3AFD"/>
    <w:rsid w:val="001D483B"/>
    <w:rsid w:val="001E0ECE"/>
    <w:rsid w:val="001E3775"/>
    <w:rsid w:val="001E5BAB"/>
    <w:rsid w:val="001F094B"/>
    <w:rsid w:val="001F176E"/>
    <w:rsid w:val="001F1CD1"/>
    <w:rsid w:val="001F3DA7"/>
    <w:rsid w:val="001F4255"/>
    <w:rsid w:val="001F477B"/>
    <w:rsid w:val="001F5949"/>
    <w:rsid w:val="0020208F"/>
    <w:rsid w:val="0020386E"/>
    <w:rsid w:val="002076F5"/>
    <w:rsid w:val="00207B1D"/>
    <w:rsid w:val="002122BC"/>
    <w:rsid w:val="002123C2"/>
    <w:rsid w:val="00212B3A"/>
    <w:rsid w:val="00212B6D"/>
    <w:rsid w:val="0021617B"/>
    <w:rsid w:val="00217EF2"/>
    <w:rsid w:val="002200BA"/>
    <w:rsid w:val="00220612"/>
    <w:rsid w:val="002222D5"/>
    <w:rsid w:val="00225D01"/>
    <w:rsid w:val="00226726"/>
    <w:rsid w:val="00231B3E"/>
    <w:rsid w:val="00235E10"/>
    <w:rsid w:val="00235F7A"/>
    <w:rsid w:val="00236765"/>
    <w:rsid w:val="00236F61"/>
    <w:rsid w:val="002415B4"/>
    <w:rsid w:val="00250481"/>
    <w:rsid w:val="002521D3"/>
    <w:rsid w:val="00252460"/>
    <w:rsid w:val="00253DCA"/>
    <w:rsid w:val="002542EB"/>
    <w:rsid w:val="00260D0B"/>
    <w:rsid w:val="00262E46"/>
    <w:rsid w:val="002654E7"/>
    <w:rsid w:val="00267905"/>
    <w:rsid w:val="00270195"/>
    <w:rsid w:val="002701D8"/>
    <w:rsid w:val="00270AC6"/>
    <w:rsid w:val="00270EEC"/>
    <w:rsid w:val="00273034"/>
    <w:rsid w:val="00274A0A"/>
    <w:rsid w:val="00275FFA"/>
    <w:rsid w:val="00276262"/>
    <w:rsid w:val="00276A66"/>
    <w:rsid w:val="002778BB"/>
    <w:rsid w:val="00283962"/>
    <w:rsid w:val="00283A50"/>
    <w:rsid w:val="00284DDD"/>
    <w:rsid w:val="00285C81"/>
    <w:rsid w:val="00286D25"/>
    <w:rsid w:val="002877CB"/>
    <w:rsid w:val="00292319"/>
    <w:rsid w:val="002931EF"/>
    <w:rsid w:val="00294C06"/>
    <w:rsid w:val="002953E3"/>
    <w:rsid w:val="002971AD"/>
    <w:rsid w:val="002A3CC2"/>
    <w:rsid w:val="002A55E2"/>
    <w:rsid w:val="002A580E"/>
    <w:rsid w:val="002A6716"/>
    <w:rsid w:val="002B0560"/>
    <w:rsid w:val="002B0E4C"/>
    <w:rsid w:val="002B34E2"/>
    <w:rsid w:val="002B3756"/>
    <w:rsid w:val="002B3B10"/>
    <w:rsid w:val="002B435A"/>
    <w:rsid w:val="002B500B"/>
    <w:rsid w:val="002C005F"/>
    <w:rsid w:val="002C1418"/>
    <w:rsid w:val="002C5A5E"/>
    <w:rsid w:val="002C6CF0"/>
    <w:rsid w:val="002C6E61"/>
    <w:rsid w:val="002D288D"/>
    <w:rsid w:val="002E0BA1"/>
    <w:rsid w:val="002E3419"/>
    <w:rsid w:val="002E4322"/>
    <w:rsid w:val="002E56FC"/>
    <w:rsid w:val="002E6BA7"/>
    <w:rsid w:val="002F1576"/>
    <w:rsid w:val="002F2072"/>
    <w:rsid w:val="002F3301"/>
    <w:rsid w:val="002F344F"/>
    <w:rsid w:val="002F361D"/>
    <w:rsid w:val="002F4744"/>
    <w:rsid w:val="002F77D1"/>
    <w:rsid w:val="0030003E"/>
    <w:rsid w:val="003072EB"/>
    <w:rsid w:val="00311E09"/>
    <w:rsid w:val="00315AD6"/>
    <w:rsid w:val="0031740E"/>
    <w:rsid w:val="00317CD6"/>
    <w:rsid w:val="003201CA"/>
    <w:rsid w:val="0032115F"/>
    <w:rsid w:val="00321C35"/>
    <w:rsid w:val="00324C2F"/>
    <w:rsid w:val="003274F5"/>
    <w:rsid w:val="00332013"/>
    <w:rsid w:val="00332615"/>
    <w:rsid w:val="00340282"/>
    <w:rsid w:val="00340BA1"/>
    <w:rsid w:val="003410D1"/>
    <w:rsid w:val="00341ED1"/>
    <w:rsid w:val="003438AD"/>
    <w:rsid w:val="00343A32"/>
    <w:rsid w:val="00343EA7"/>
    <w:rsid w:val="00344DE1"/>
    <w:rsid w:val="00345DF9"/>
    <w:rsid w:val="00345F64"/>
    <w:rsid w:val="0034771F"/>
    <w:rsid w:val="003528CB"/>
    <w:rsid w:val="00353DBF"/>
    <w:rsid w:val="003577BF"/>
    <w:rsid w:val="00360B03"/>
    <w:rsid w:val="003619C0"/>
    <w:rsid w:val="00362A9C"/>
    <w:rsid w:val="00364DF0"/>
    <w:rsid w:val="00370A2C"/>
    <w:rsid w:val="00373E8B"/>
    <w:rsid w:val="00376001"/>
    <w:rsid w:val="0037775C"/>
    <w:rsid w:val="00382059"/>
    <w:rsid w:val="00382544"/>
    <w:rsid w:val="00382BB1"/>
    <w:rsid w:val="00384964"/>
    <w:rsid w:val="00387131"/>
    <w:rsid w:val="00390780"/>
    <w:rsid w:val="0039478F"/>
    <w:rsid w:val="003A07A6"/>
    <w:rsid w:val="003A6C61"/>
    <w:rsid w:val="003A707E"/>
    <w:rsid w:val="003A78D1"/>
    <w:rsid w:val="003B448F"/>
    <w:rsid w:val="003B535E"/>
    <w:rsid w:val="003B7E20"/>
    <w:rsid w:val="003C0FF7"/>
    <w:rsid w:val="003C45FE"/>
    <w:rsid w:val="003C59C7"/>
    <w:rsid w:val="003C61A3"/>
    <w:rsid w:val="003D276E"/>
    <w:rsid w:val="003D486E"/>
    <w:rsid w:val="003D54BE"/>
    <w:rsid w:val="003D6427"/>
    <w:rsid w:val="003E00E9"/>
    <w:rsid w:val="003E1172"/>
    <w:rsid w:val="003E36E0"/>
    <w:rsid w:val="003E38A7"/>
    <w:rsid w:val="003E6AA9"/>
    <w:rsid w:val="003E6D51"/>
    <w:rsid w:val="003E7AF5"/>
    <w:rsid w:val="003F3C6C"/>
    <w:rsid w:val="003F59C5"/>
    <w:rsid w:val="003F5F64"/>
    <w:rsid w:val="003F7ED1"/>
    <w:rsid w:val="00400332"/>
    <w:rsid w:val="0040037A"/>
    <w:rsid w:val="004076CD"/>
    <w:rsid w:val="00410AC1"/>
    <w:rsid w:val="00410C84"/>
    <w:rsid w:val="00410E02"/>
    <w:rsid w:val="00414920"/>
    <w:rsid w:val="00422F83"/>
    <w:rsid w:val="00424531"/>
    <w:rsid w:val="004246F4"/>
    <w:rsid w:val="00430826"/>
    <w:rsid w:val="004357AF"/>
    <w:rsid w:val="00442CB8"/>
    <w:rsid w:val="00444E06"/>
    <w:rsid w:val="0044564D"/>
    <w:rsid w:val="00446364"/>
    <w:rsid w:val="00451407"/>
    <w:rsid w:val="004526E6"/>
    <w:rsid w:val="00452EA0"/>
    <w:rsid w:val="00453D67"/>
    <w:rsid w:val="00455CAD"/>
    <w:rsid w:val="00457995"/>
    <w:rsid w:val="004610F6"/>
    <w:rsid w:val="00465971"/>
    <w:rsid w:val="00471DEB"/>
    <w:rsid w:val="00472CD7"/>
    <w:rsid w:val="00476CF8"/>
    <w:rsid w:val="00480329"/>
    <w:rsid w:val="004851E1"/>
    <w:rsid w:val="004858FC"/>
    <w:rsid w:val="00486423"/>
    <w:rsid w:val="00486C51"/>
    <w:rsid w:val="00495246"/>
    <w:rsid w:val="00497485"/>
    <w:rsid w:val="004A02B8"/>
    <w:rsid w:val="004A0466"/>
    <w:rsid w:val="004A176B"/>
    <w:rsid w:val="004A32B7"/>
    <w:rsid w:val="004A4491"/>
    <w:rsid w:val="004A479B"/>
    <w:rsid w:val="004A5B3E"/>
    <w:rsid w:val="004C182C"/>
    <w:rsid w:val="004C2235"/>
    <w:rsid w:val="004C32D8"/>
    <w:rsid w:val="004C7C01"/>
    <w:rsid w:val="004D2FE2"/>
    <w:rsid w:val="004D4968"/>
    <w:rsid w:val="004D4B12"/>
    <w:rsid w:val="004D5B5E"/>
    <w:rsid w:val="004D7DA9"/>
    <w:rsid w:val="004E58C7"/>
    <w:rsid w:val="004E7A7D"/>
    <w:rsid w:val="004F276F"/>
    <w:rsid w:val="004F29BE"/>
    <w:rsid w:val="004F7F7D"/>
    <w:rsid w:val="00503E11"/>
    <w:rsid w:val="005050EC"/>
    <w:rsid w:val="00507CC5"/>
    <w:rsid w:val="00513AD5"/>
    <w:rsid w:val="00516C43"/>
    <w:rsid w:val="00520D5E"/>
    <w:rsid w:val="00521A94"/>
    <w:rsid w:val="00524FDC"/>
    <w:rsid w:val="00530FEE"/>
    <w:rsid w:val="005331AE"/>
    <w:rsid w:val="005332AD"/>
    <w:rsid w:val="005338EE"/>
    <w:rsid w:val="00533F67"/>
    <w:rsid w:val="00533FFC"/>
    <w:rsid w:val="00537D31"/>
    <w:rsid w:val="00540B3F"/>
    <w:rsid w:val="00543EB4"/>
    <w:rsid w:val="00545372"/>
    <w:rsid w:val="00547533"/>
    <w:rsid w:val="00550F65"/>
    <w:rsid w:val="00554175"/>
    <w:rsid w:val="00562C06"/>
    <w:rsid w:val="00562DFC"/>
    <w:rsid w:val="00565E95"/>
    <w:rsid w:val="00574647"/>
    <w:rsid w:val="00574B33"/>
    <w:rsid w:val="00575841"/>
    <w:rsid w:val="0057662D"/>
    <w:rsid w:val="00582FB0"/>
    <w:rsid w:val="00585369"/>
    <w:rsid w:val="00585E86"/>
    <w:rsid w:val="00591E64"/>
    <w:rsid w:val="00597049"/>
    <w:rsid w:val="00597704"/>
    <w:rsid w:val="005A47ED"/>
    <w:rsid w:val="005A611A"/>
    <w:rsid w:val="005A79FE"/>
    <w:rsid w:val="005B27CD"/>
    <w:rsid w:val="005D17D9"/>
    <w:rsid w:val="005D4C39"/>
    <w:rsid w:val="005E0949"/>
    <w:rsid w:val="005E24EC"/>
    <w:rsid w:val="005E5D68"/>
    <w:rsid w:val="005F3DFE"/>
    <w:rsid w:val="005F5362"/>
    <w:rsid w:val="005F64C6"/>
    <w:rsid w:val="0060132E"/>
    <w:rsid w:val="00602117"/>
    <w:rsid w:val="00602895"/>
    <w:rsid w:val="00603AA7"/>
    <w:rsid w:val="00605572"/>
    <w:rsid w:val="006127CF"/>
    <w:rsid w:val="0061325C"/>
    <w:rsid w:val="00614002"/>
    <w:rsid w:val="00614601"/>
    <w:rsid w:val="00614CB2"/>
    <w:rsid w:val="00614E45"/>
    <w:rsid w:val="00615D0F"/>
    <w:rsid w:val="006215FA"/>
    <w:rsid w:val="00622FA3"/>
    <w:rsid w:val="00622FDE"/>
    <w:rsid w:val="006255DB"/>
    <w:rsid w:val="006329F3"/>
    <w:rsid w:val="00633B3B"/>
    <w:rsid w:val="006436CD"/>
    <w:rsid w:val="00644154"/>
    <w:rsid w:val="00644A77"/>
    <w:rsid w:val="00645252"/>
    <w:rsid w:val="006471DB"/>
    <w:rsid w:val="00651B0B"/>
    <w:rsid w:val="0065265D"/>
    <w:rsid w:val="00652AD1"/>
    <w:rsid w:val="00652AEB"/>
    <w:rsid w:val="006606C1"/>
    <w:rsid w:val="00662F4E"/>
    <w:rsid w:val="00663886"/>
    <w:rsid w:val="00663EC1"/>
    <w:rsid w:val="006672D3"/>
    <w:rsid w:val="0067259B"/>
    <w:rsid w:val="006733BA"/>
    <w:rsid w:val="0068122F"/>
    <w:rsid w:val="0068341C"/>
    <w:rsid w:val="006859FA"/>
    <w:rsid w:val="00686A44"/>
    <w:rsid w:val="006946C2"/>
    <w:rsid w:val="006A271B"/>
    <w:rsid w:val="006A5E17"/>
    <w:rsid w:val="006A644B"/>
    <w:rsid w:val="006B0058"/>
    <w:rsid w:val="006B1176"/>
    <w:rsid w:val="006B296C"/>
    <w:rsid w:val="006B2C0F"/>
    <w:rsid w:val="006B3B42"/>
    <w:rsid w:val="006C4C13"/>
    <w:rsid w:val="006C4D30"/>
    <w:rsid w:val="006C5E39"/>
    <w:rsid w:val="006C62F4"/>
    <w:rsid w:val="006D30B5"/>
    <w:rsid w:val="006D321C"/>
    <w:rsid w:val="006D3D74"/>
    <w:rsid w:val="006D3DF3"/>
    <w:rsid w:val="006D4014"/>
    <w:rsid w:val="006D54FE"/>
    <w:rsid w:val="006D6ECC"/>
    <w:rsid w:val="006E00B7"/>
    <w:rsid w:val="006E053C"/>
    <w:rsid w:val="006E1AD5"/>
    <w:rsid w:val="006E4E28"/>
    <w:rsid w:val="006F18BF"/>
    <w:rsid w:val="006F2413"/>
    <w:rsid w:val="006F2E51"/>
    <w:rsid w:val="006F373F"/>
    <w:rsid w:val="006F7247"/>
    <w:rsid w:val="00703811"/>
    <w:rsid w:val="00703EA3"/>
    <w:rsid w:val="00703FF7"/>
    <w:rsid w:val="007051A3"/>
    <w:rsid w:val="007052BC"/>
    <w:rsid w:val="00705CAE"/>
    <w:rsid w:val="00707677"/>
    <w:rsid w:val="007077FB"/>
    <w:rsid w:val="007105AD"/>
    <w:rsid w:val="0071332A"/>
    <w:rsid w:val="00717482"/>
    <w:rsid w:val="00720D3E"/>
    <w:rsid w:val="007226F0"/>
    <w:rsid w:val="00726669"/>
    <w:rsid w:val="00741985"/>
    <w:rsid w:val="00741B82"/>
    <w:rsid w:val="00742A9D"/>
    <w:rsid w:val="007501B4"/>
    <w:rsid w:val="0075164B"/>
    <w:rsid w:val="00753D09"/>
    <w:rsid w:val="00756F4A"/>
    <w:rsid w:val="007611D7"/>
    <w:rsid w:val="007637AC"/>
    <w:rsid w:val="007650DB"/>
    <w:rsid w:val="00771EAA"/>
    <w:rsid w:val="0077332A"/>
    <w:rsid w:val="00775800"/>
    <w:rsid w:val="0077740E"/>
    <w:rsid w:val="0078150A"/>
    <w:rsid w:val="00781709"/>
    <w:rsid w:val="00784C85"/>
    <w:rsid w:val="00785FEC"/>
    <w:rsid w:val="0078600F"/>
    <w:rsid w:val="007871B3"/>
    <w:rsid w:val="00787B90"/>
    <w:rsid w:val="00790F5F"/>
    <w:rsid w:val="00791EBE"/>
    <w:rsid w:val="007925D8"/>
    <w:rsid w:val="0079620F"/>
    <w:rsid w:val="007A31D7"/>
    <w:rsid w:val="007A45F3"/>
    <w:rsid w:val="007B00FF"/>
    <w:rsid w:val="007B2B1E"/>
    <w:rsid w:val="007B2DC7"/>
    <w:rsid w:val="007B3987"/>
    <w:rsid w:val="007B76E0"/>
    <w:rsid w:val="007C00B4"/>
    <w:rsid w:val="007C1FF6"/>
    <w:rsid w:val="007C2593"/>
    <w:rsid w:val="007C2977"/>
    <w:rsid w:val="007C3554"/>
    <w:rsid w:val="007C44C6"/>
    <w:rsid w:val="007C48CE"/>
    <w:rsid w:val="007C569D"/>
    <w:rsid w:val="007C5D1F"/>
    <w:rsid w:val="007C7612"/>
    <w:rsid w:val="007D2BC8"/>
    <w:rsid w:val="007D3005"/>
    <w:rsid w:val="007D3510"/>
    <w:rsid w:val="007D7D68"/>
    <w:rsid w:val="007E0AD5"/>
    <w:rsid w:val="007E105D"/>
    <w:rsid w:val="007F08ED"/>
    <w:rsid w:val="007F0E24"/>
    <w:rsid w:val="007F13FC"/>
    <w:rsid w:val="007F2CF3"/>
    <w:rsid w:val="007F32E4"/>
    <w:rsid w:val="00800ACE"/>
    <w:rsid w:val="008014D7"/>
    <w:rsid w:val="00803454"/>
    <w:rsid w:val="008058DD"/>
    <w:rsid w:val="008068B0"/>
    <w:rsid w:val="0081180D"/>
    <w:rsid w:val="008215B1"/>
    <w:rsid w:val="00825F31"/>
    <w:rsid w:val="00830023"/>
    <w:rsid w:val="008353BC"/>
    <w:rsid w:val="008378E5"/>
    <w:rsid w:val="00844CC3"/>
    <w:rsid w:val="008452DC"/>
    <w:rsid w:val="00850FB9"/>
    <w:rsid w:val="00856864"/>
    <w:rsid w:val="00856CDF"/>
    <w:rsid w:val="00856F6D"/>
    <w:rsid w:val="008608A2"/>
    <w:rsid w:val="0086197B"/>
    <w:rsid w:val="008655AE"/>
    <w:rsid w:val="008707DC"/>
    <w:rsid w:val="00870CCB"/>
    <w:rsid w:val="00871AB2"/>
    <w:rsid w:val="0087329B"/>
    <w:rsid w:val="0087573A"/>
    <w:rsid w:val="0087728D"/>
    <w:rsid w:val="00880BC5"/>
    <w:rsid w:val="00885523"/>
    <w:rsid w:val="00892BA3"/>
    <w:rsid w:val="00892E07"/>
    <w:rsid w:val="00893E7F"/>
    <w:rsid w:val="00897E5D"/>
    <w:rsid w:val="008A01B2"/>
    <w:rsid w:val="008A062C"/>
    <w:rsid w:val="008A1A71"/>
    <w:rsid w:val="008A1B49"/>
    <w:rsid w:val="008A272D"/>
    <w:rsid w:val="008A2F62"/>
    <w:rsid w:val="008A64B3"/>
    <w:rsid w:val="008B50D5"/>
    <w:rsid w:val="008B565D"/>
    <w:rsid w:val="008B5E57"/>
    <w:rsid w:val="008B723D"/>
    <w:rsid w:val="008B7C99"/>
    <w:rsid w:val="008C1324"/>
    <w:rsid w:val="008C1BF2"/>
    <w:rsid w:val="008C238A"/>
    <w:rsid w:val="008C2514"/>
    <w:rsid w:val="008C256A"/>
    <w:rsid w:val="008C5AFE"/>
    <w:rsid w:val="008D04FE"/>
    <w:rsid w:val="008D0B60"/>
    <w:rsid w:val="008D1DCB"/>
    <w:rsid w:val="008D2EDD"/>
    <w:rsid w:val="008D48C5"/>
    <w:rsid w:val="008D4D89"/>
    <w:rsid w:val="008D5DF5"/>
    <w:rsid w:val="008D69AB"/>
    <w:rsid w:val="008E0C81"/>
    <w:rsid w:val="008E19DD"/>
    <w:rsid w:val="008E1F47"/>
    <w:rsid w:val="008E2790"/>
    <w:rsid w:val="008E4183"/>
    <w:rsid w:val="008E5771"/>
    <w:rsid w:val="008E595A"/>
    <w:rsid w:val="008F3C0E"/>
    <w:rsid w:val="008F4578"/>
    <w:rsid w:val="00900C0B"/>
    <w:rsid w:val="009016FC"/>
    <w:rsid w:val="00901BA4"/>
    <w:rsid w:val="00902929"/>
    <w:rsid w:val="00907728"/>
    <w:rsid w:val="00911496"/>
    <w:rsid w:val="00920D06"/>
    <w:rsid w:val="00921068"/>
    <w:rsid w:val="00921E0D"/>
    <w:rsid w:val="00922E88"/>
    <w:rsid w:val="00935EF9"/>
    <w:rsid w:val="009361C9"/>
    <w:rsid w:val="0093630A"/>
    <w:rsid w:val="0093741E"/>
    <w:rsid w:val="00942365"/>
    <w:rsid w:val="00943578"/>
    <w:rsid w:val="0094638D"/>
    <w:rsid w:val="00947108"/>
    <w:rsid w:val="009517DE"/>
    <w:rsid w:val="0095230F"/>
    <w:rsid w:val="00955CAD"/>
    <w:rsid w:val="00955EA3"/>
    <w:rsid w:val="0095673D"/>
    <w:rsid w:val="0096214C"/>
    <w:rsid w:val="00965A78"/>
    <w:rsid w:val="00965FBD"/>
    <w:rsid w:val="00966D49"/>
    <w:rsid w:val="009719B5"/>
    <w:rsid w:val="0097268F"/>
    <w:rsid w:val="00975C9B"/>
    <w:rsid w:val="00976957"/>
    <w:rsid w:val="00977A62"/>
    <w:rsid w:val="0098081D"/>
    <w:rsid w:val="0098096B"/>
    <w:rsid w:val="00983BB2"/>
    <w:rsid w:val="00984525"/>
    <w:rsid w:val="00985ECC"/>
    <w:rsid w:val="00990930"/>
    <w:rsid w:val="00991658"/>
    <w:rsid w:val="009917CB"/>
    <w:rsid w:val="00994515"/>
    <w:rsid w:val="009A2553"/>
    <w:rsid w:val="009A4166"/>
    <w:rsid w:val="009A70BB"/>
    <w:rsid w:val="009B2028"/>
    <w:rsid w:val="009C3735"/>
    <w:rsid w:val="009C50AD"/>
    <w:rsid w:val="009C5977"/>
    <w:rsid w:val="009C6AE4"/>
    <w:rsid w:val="009D1761"/>
    <w:rsid w:val="009D21C2"/>
    <w:rsid w:val="009D4032"/>
    <w:rsid w:val="009D6A6D"/>
    <w:rsid w:val="009E0DC3"/>
    <w:rsid w:val="009E3A37"/>
    <w:rsid w:val="009E7896"/>
    <w:rsid w:val="009F6148"/>
    <w:rsid w:val="00A0138E"/>
    <w:rsid w:val="00A0256F"/>
    <w:rsid w:val="00A0444A"/>
    <w:rsid w:val="00A04CE0"/>
    <w:rsid w:val="00A070CB"/>
    <w:rsid w:val="00A07566"/>
    <w:rsid w:val="00A1084B"/>
    <w:rsid w:val="00A143FE"/>
    <w:rsid w:val="00A14C97"/>
    <w:rsid w:val="00A15271"/>
    <w:rsid w:val="00A16927"/>
    <w:rsid w:val="00A2027F"/>
    <w:rsid w:val="00A240A9"/>
    <w:rsid w:val="00A316AE"/>
    <w:rsid w:val="00A31C80"/>
    <w:rsid w:val="00A31F10"/>
    <w:rsid w:val="00A342EE"/>
    <w:rsid w:val="00A37E12"/>
    <w:rsid w:val="00A42726"/>
    <w:rsid w:val="00A4291C"/>
    <w:rsid w:val="00A43325"/>
    <w:rsid w:val="00A46F20"/>
    <w:rsid w:val="00A50ED2"/>
    <w:rsid w:val="00A5213A"/>
    <w:rsid w:val="00A55865"/>
    <w:rsid w:val="00A573E4"/>
    <w:rsid w:val="00A62513"/>
    <w:rsid w:val="00A652ED"/>
    <w:rsid w:val="00A67620"/>
    <w:rsid w:val="00A70656"/>
    <w:rsid w:val="00A71631"/>
    <w:rsid w:val="00A763CC"/>
    <w:rsid w:val="00A76CD6"/>
    <w:rsid w:val="00A77141"/>
    <w:rsid w:val="00A83CE1"/>
    <w:rsid w:val="00A84274"/>
    <w:rsid w:val="00A9084F"/>
    <w:rsid w:val="00A9204E"/>
    <w:rsid w:val="00A932FE"/>
    <w:rsid w:val="00A9690D"/>
    <w:rsid w:val="00AA36BC"/>
    <w:rsid w:val="00AA471C"/>
    <w:rsid w:val="00AA73A4"/>
    <w:rsid w:val="00AB05F2"/>
    <w:rsid w:val="00AC516B"/>
    <w:rsid w:val="00AC5848"/>
    <w:rsid w:val="00AC5D18"/>
    <w:rsid w:val="00AC6F1A"/>
    <w:rsid w:val="00AD09F9"/>
    <w:rsid w:val="00AD0FEF"/>
    <w:rsid w:val="00AD4D21"/>
    <w:rsid w:val="00AE2493"/>
    <w:rsid w:val="00AE27D8"/>
    <w:rsid w:val="00AE381C"/>
    <w:rsid w:val="00AE7A2C"/>
    <w:rsid w:val="00AF51EA"/>
    <w:rsid w:val="00B017C6"/>
    <w:rsid w:val="00B049D9"/>
    <w:rsid w:val="00B10D7A"/>
    <w:rsid w:val="00B15AFA"/>
    <w:rsid w:val="00B17059"/>
    <w:rsid w:val="00B200A0"/>
    <w:rsid w:val="00B275E4"/>
    <w:rsid w:val="00B27A82"/>
    <w:rsid w:val="00B30A04"/>
    <w:rsid w:val="00B30FA2"/>
    <w:rsid w:val="00B34288"/>
    <w:rsid w:val="00B35C37"/>
    <w:rsid w:val="00B35C70"/>
    <w:rsid w:val="00B361AC"/>
    <w:rsid w:val="00B421DB"/>
    <w:rsid w:val="00B42784"/>
    <w:rsid w:val="00B42B06"/>
    <w:rsid w:val="00B47B4A"/>
    <w:rsid w:val="00B47C12"/>
    <w:rsid w:val="00B5285C"/>
    <w:rsid w:val="00B54613"/>
    <w:rsid w:val="00B575A3"/>
    <w:rsid w:val="00B62060"/>
    <w:rsid w:val="00B62202"/>
    <w:rsid w:val="00B63554"/>
    <w:rsid w:val="00B65518"/>
    <w:rsid w:val="00B6692F"/>
    <w:rsid w:val="00B67CDF"/>
    <w:rsid w:val="00B709B4"/>
    <w:rsid w:val="00B7229A"/>
    <w:rsid w:val="00B72AC1"/>
    <w:rsid w:val="00B7373F"/>
    <w:rsid w:val="00B73EBC"/>
    <w:rsid w:val="00B754AB"/>
    <w:rsid w:val="00B75A71"/>
    <w:rsid w:val="00B76875"/>
    <w:rsid w:val="00B85C81"/>
    <w:rsid w:val="00B869EB"/>
    <w:rsid w:val="00B876F2"/>
    <w:rsid w:val="00B936F6"/>
    <w:rsid w:val="00B9523A"/>
    <w:rsid w:val="00B97A82"/>
    <w:rsid w:val="00BA3A8E"/>
    <w:rsid w:val="00BA3B89"/>
    <w:rsid w:val="00BA4FB8"/>
    <w:rsid w:val="00BA6B93"/>
    <w:rsid w:val="00BB2059"/>
    <w:rsid w:val="00BB232A"/>
    <w:rsid w:val="00BB3028"/>
    <w:rsid w:val="00BB3172"/>
    <w:rsid w:val="00BB5289"/>
    <w:rsid w:val="00BB5635"/>
    <w:rsid w:val="00BB5B29"/>
    <w:rsid w:val="00BC0832"/>
    <w:rsid w:val="00BC4651"/>
    <w:rsid w:val="00BC4F25"/>
    <w:rsid w:val="00BD0597"/>
    <w:rsid w:val="00BD1175"/>
    <w:rsid w:val="00BD11FF"/>
    <w:rsid w:val="00BD44C6"/>
    <w:rsid w:val="00BE02A3"/>
    <w:rsid w:val="00BE1A46"/>
    <w:rsid w:val="00BE64D4"/>
    <w:rsid w:val="00BE7240"/>
    <w:rsid w:val="00BF07CE"/>
    <w:rsid w:val="00BF08F4"/>
    <w:rsid w:val="00BF126B"/>
    <w:rsid w:val="00BF2712"/>
    <w:rsid w:val="00BF4CCD"/>
    <w:rsid w:val="00BF77FE"/>
    <w:rsid w:val="00BF7AA6"/>
    <w:rsid w:val="00C001C8"/>
    <w:rsid w:val="00C01058"/>
    <w:rsid w:val="00C03033"/>
    <w:rsid w:val="00C170C6"/>
    <w:rsid w:val="00C200E2"/>
    <w:rsid w:val="00C20129"/>
    <w:rsid w:val="00C23A80"/>
    <w:rsid w:val="00C24107"/>
    <w:rsid w:val="00C26459"/>
    <w:rsid w:val="00C264A0"/>
    <w:rsid w:val="00C26B9D"/>
    <w:rsid w:val="00C313A6"/>
    <w:rsid w:val="00C31B16"/>
    <w:rsid w:val="00C33272"/>
    <w:rsid w:val="00C35117"/>
    <w:rsid w:val="00C360A5"/>
    <w:rsid w:val="00C3718C"/>
    <w:rsid w:val="00C374FE"/>
    <w:rsid w:val="00C41034"/>
    <w:rsid w:val="00C41634"/>
    <w:rsid w:val="00C460B0"/>
    <w:rsid w:val="00C4720A"/>
    <w:rsid w:val="00C50021"/>
    <w:rsid w:val="00C520FC"/>
    <w:rsid w:val="00C555E0"/>
    <w:rsid w:val="00C61BCC"/>
    <w:rsid w:val="00C64C51"/>
    <w:rsid w:val="00C64D12"/>
    <w:rsid w:val="00C65ED9"/>
    <w:rsid w:val="00C71928"/>
    <w:rsid w:val="00C7492F"/>
    <w:rsid w:val="00C77225"/>
    <w:rsid w:val="00C77917"/>
    <w:rsid w:val="00C82090"/>
    <w:rsid w:val="00C8214A"/>
    <w:rsid w:val="00C92839"/>
    <w:rsid w:val="00C92CBB"/>
    <w:rsid w:val="00C95685"/>
    <w:rsid w:val="00C96BF4"/>
    <w:rsid w:val="00C97A16"/>
    <w:rsid w:val="00CA1B69"/>
    <w:rsid w:val="00CA5EC0"/>
    <w:rsid w:val="00CA6B6C"/>
    <w:rsid w:val="00CA71E2"/>
    <w:rsid w:val="00CA762D"/>
    <w:rsid w:val="00CB38E6"/>
    <w:rsid w:val="00CC3556"/>
    <w:rsid w:val="00CC4F0A"/>
    <w:rsid w:val="00CC5D48"/>
    <w:rsid w:val="00CC67B3"/>
    <w:rsid w:val="00CC6C7B"/>
    <w:rsid w:val="00CD0867"/>
    <w:rsid w:val="00CD186E"/>
    <w:rsid w:val="00CD1A25"/>
    <w:rsid w:val="00CD6A8D"/>
    <w:rsid w:val="00CD750A"/>
    <w:rsid w:val="00CE1C03"/>
    <w:rsid w:val="00CF3394"/>
    <w:rsid w:val="00CF3FC2"/>
    <w:rsid w:val="00CF5C15"/>
    <w:rsid w:val="00D0027D"/>
    <w:rsid w:val="00D022E3"/>
    <w:rsid w:val="00D03470"/>
    <w:rsid w:val="00D07AC6"/>
    <w:rsid w:val="00D10DE3"/>
    <w:rsid w:val="00D1241F"/>
    <w:rsid w:val="00D13B4E"/>
    <w:rsid w:val="00D16E7A"/>
    <w:rsid w:val="00D21B39"/>
    <w:rsid w:val="00D221CA"/>
    <w:rsid w:val="00D23772"/>
    <w:rsid w:val="00D26C40"/>
    <w:rsid w:val="00D3230B"/>
    <w:rsid w:val="00D347B1"/>
    <w:rsid w:val="00D35610"/>
    <w:rsid w:val="00D36835"/>
    <w:rsid w:val="00D405A1"/>
    <w:rsid w:val="00D45F4C"/>
    <w:rsid w:val="00D460A7"/>
    <w:rsid w:val="00D50771"/>
    <w:rsid w:val="00D51D5A"/>
    <w:rsid w:val="00D625C9"/>
    <w:rsid w:val="00D65542"/>
    <w:rsid w:val="00D67703"/>
    <w:rsid w:val="00D71BC9"/>
    <w:rsid w:val="00D72B3B"/>
    <w:rsid w:val="00D72C25"/>
    <w:rsid w:val="00D73580"/>
    <w:rsid w:val="00D73C51"/>
    <w:rsid w:val="00D75BC0"/>
    <w:rsid w:val="00D76558"/>
    <w:rsid w:val="00D77819"/>
    <w:rsid w:val="00D77D7B"/>
    <w:rsid w:val="00D80F35"/>
    <w:rsid w:val="00D81656"/>
    <w:rsid w:val="00D83A20"/>
    <w:rsid w:val="00D83F02"/>
    <w:rsid w:val="00D85C4E"/>
    <w:rsid w:val="00D87509"/>
    <w:rsid w:val="00D93AA5"/>
    <w:rsid w:val="00D9444B"/>
    <w:rsid w:val="00DA09F9"/>
    <w:rsid w:val="00DA1A3D"/>
    <w:rsid w:val="00DA2920"/>
    <w:rsid w:val="00DA2A63"/>
    <w:rsid w:val="00DA2FF6"/>
    <w:rsid w:val="00DA4514"/>
    <w:rsid w:val="00DA56BE"/>
    <w:rsid w:val="00DB168A"/>
    <w:rsid w:val="00DB2016"/>
    <w:rsid w:val="00DB2085"/>
    <w:rsid w:val="00DB305E"/>
    <w:rsid w:val="00DB486F"/>
    <w:rsid w:val="00DB5E5E"/>
    <w:rsid w:val="00DB657C"/>
    <w:rsid w:val="00DB6C4A"/>
    <w:rsid w:val="00DC2731"/>
    <w:rsid w:val="00DD43DA"/>
    <w:rsid w:val="00DD4DE2"/>
    <w:rsid w:val="00DE0D50"/>
    <w:rsid w:val="00DE1B5E"/>
    <w:rsid w:val="00DE28BC"/>
    <w:rsid w:val="00DE3904"/>
    <w:rsid w:val="00DF0C7C"/>
    <w:rsid w:val="00DF1D86"/>
    <w:rsid w:val="00DF2FDA"/>
    <w:rsid w:val="00DF4ED7"/>
    <w:rsid w:val="00DF6212"/>
    <w:rsid w:val="00DF6D3F"/>
    <w:rsid w:val="00DF7AE9"/>
    <w:rsid w:val="00E05FD2"/>
    <w:rsid w:val="00E060A2"/>
    <w:rsid w:val="00E071FF"/>
    <w:rsid w:val="00E07646"/>
    <w:rsid w:val="00E1025E"/>
    <w:rsid w:val="00E103D0"/>
    <w:rsid w:val="00E13770"/>
    <w:rsid w:val="00E17C50"/>
    <w:rsid w:val="00E207C2"/>
    <w:rsid w:val="00E23D2C"/>
    <w:rsid w:val="00E24E7D"/>
    <w:rsid w:val="00E25646"/>
    <w:rsid w:val="00E33C32"/>
    <w:rsid w:val="00E4214E"/>
    <w:rsid w:val="00E46C66"/>
    <w:rsid w:val="00E47374"/>
    <w:rsid w:val="00E500DF"/>
    <w:rsid w:val="00E511EC"/>
    <w:rsid w:val="00E51CE0"/>
    <w:rsid w:val="00E52448"/>
    <w:rsid w:val="00E55F40"/>
    <w:rsid w:val="00E56020"/>
    <w:rsid w:val="00E5696B"/>
    <w:rsid w:val="00E666B7"/>
    <w:rsid w:val="00E66844"/>
    <w:rsid w:val="00E66D22"/>
    <w:rsid w:val="00E71EE9"/>
    <w:rsid w:val="00E724F9"/>
    <w:rsid w:val="00E81321"/>
    <w:rsid w:val="00E8202C"/>
    <w:rsid w:val="00E879C1"/>
    <w:rsid w:val="00E92375"/>
    <w:rsid w:val="00EA040F"/>
    <w:rsid w:val="00EA48A5"/>
    <w:rsid w:val="00EA5657"/>
    <w:rsid w:val="00EA6403"/>
    <w:rsid w:val="00EA6A48"/>
    <w:rsid w:val="00EB0087"/>
    <w:rsid w:val="00EB05AE"/>
    <w:rsid w:val="00EB1718"/>
    <w:rsid w:val="00EB4AF8"/>
    <w:rsid w:val="00EB56B2"/>
    <w:rsid w:val="00EC0AA9"/>
    <w:rsid w:val="00EC4E32"/>
    <w:rsid w:val="00EC52D8"/>
    <w:rsid w:val="00EC6969"/>
    <w:rsid w:val="00ED072B"/>
    <w:rsid w:val="00ED18F9"/>
    <w:rsid w:val="00ED2B68"/>
    <w:rsid w:val="00ED3F82"/>
    <w:rsid w:val="00ED4D16"/>
    <w:rsid w:val="00ED4EF3"/>
    <w:rsid w:val="00ED65EA"/>
    <w:rsid w:val="00ED67ED"/>
    <w:rsid w:val="00ED7289"/>
    <w:rsid w:val="00EE301E"/>
    <w:rsid w:val="00EE434D"/>
    <w:rsid w:val="00EE44AE"/>
    <w:rsid w:val="00EF2C9B"/>
    <w:rsid w:val="00F02314"/>
    <w:rsid w:val="00F043B3"/>
    <w:rsid w:val="00F0548B"/>
    <w:rsid w:val="00F07506"/>
    <w:rsid w:val="00F07E77"/>
    <w:rsid w:val="00F128F2"/>
    <w:rsid w:val="00F15430"/>
    <w:rsid w:val="00F159EA"/>
    <w:rsid w:val="00F15F48"/>
    <w:rsid w:val="00F162A8"/>
    <w:rsid w:val="00F16E3D"/>
    <w:rsid w:val="00F20308"/>
    <w:rsid w:val="00F21B33"/>
    <w:rsid w:val="00F2369E"/>
    <w:rsid w:val="00F240E3"/>
    <w:rsid w:val="00F24E79"/>
    <w:rsid w:val="00F254C8"/>
    <w:rsid w:val="00F271A0"/>
    <w:rsid w:val="00F27246"/>
    <w:rsid w:val="00F30D8E"/>
    <w:rsid w:val="00F341E3"/>
    <w:rsid w:val="00F3498A"/>
    <w:rsid w:val="00F34ADB"/>
    <w:rsid w:val="00F35C57"/>
    <w:rsid w:val="00F40F07"/>
    <w:rsid w:val="00F42E2A"/>
    <w:rsid w:val="00F44464"/>
    <w:rsid w:val="00F47AC8"/>
    <w:rsid w:val="00F5014C"/>
    <w:rsid w:val="00F5142F"/>
    <w:rsid w:val="00F5658D"/>
    <w:rsid w:val="00F626C9"/>
    <w:rsid w:val="00F62E7C"/>
    <w:rsid w:val="00F63C9A"/>
    <w:rsid w:val="00F652BF"/>
    <w:rsid w:val="00F65C79"/>
    <w:rsid w:val="00F71436"/>
    <w:rsid w:val="00F77502"/>
    <w:rsid w:val="00F82460"/>
    <w:rsid w:val="00F8371F"/>
    <w:rsid w:val="00F878C8"/>
    <w:rsid w:val="00F87F0E"/>
    <w:rsid w:val="00F91077"/>
    <w:rsid w:val="00F91578"/>
    <w:rsid w:val="00F95D36"/>
    <w:rsid w:val="00FA12F1"/>
    <w:rsid w:val="00FA2613"/>
    <w:rsid w:val="00FB0C6D"/>
    <w:rsid w:val="00FB2EC8"/>
    <w:rsid w:val="00FB3329"/>
    <w:rsid w:val="00FB3ABF"/>
    <w:rsid w:val="00FB619B"/>
    <w:rsid w:val="00FB67E3"/>
    <w:rsid w:val="00FC0EC4"/>
    <w:rsid w:val="00FC72B8"/>
    <w:rsid w:val="00FC7C00"/>
    <w:rsid w:val="00FD1E83"/>
    <w:rsid w:val="00FD283C"/>
    <w:rsid w:val="00FD4582"/>
    <w:rsid w:val="00FD486B"/>
    <w:rsid w:val="00FD6488"/>
    <w:rsid w:val="00FE07DA"/>
    <w:rsid w:val="00FE5780"/>
    <w:rsid w:val="00FE5D6F"/>
    <w:rsid w:val="00FE6CB1"/>
    <w:rsid w:val="00FE78FF"/>
    <w:rsid w:val="00FF2B8B"/>
    <w:rsid w:val="00FF473E"/>
    <w:rsid w:val="00FF4E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4A0BC"/>
  <w15:docId w15:val="{C6F69A04-1CC0-46DA-8555-DB841CC1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929"/>
    <w:pPr>
      <w:spacing w:after="120"/>
    </w:pPr>
    <w:rPr>
      <w:rFonts w:eastAsiaTheme="minorEastAsia"/>
      <w:sz w:val="20"/>
      <w:szCs w:val="20"/>
      <w:lang w:val="en-GB"/>
    </w:rPr>
  </w:style>
  <w:style w:type="paragraph" w:styleId="Heading1">
    <w:name w:val="heading 1"/>
    <w:basedOn w:val="Normal"/>
    <w:next w:val="Normal"/>
    <w:link w:val="Heading1Char"/>
    <w:uiPriority w:val="9"/>
    <w:qFormat/>
    <w:rsid w:val="004F7F7D"/>
    <w:pPr>
      <w:keepNext/>
      <w:keepLines/>
      <w:spacing w:before="240" w:after="240"/>
      <w:outlineLvl w:val="0"/>
    </w:pPr>
    <w:rPr>
      <w:rFonts w:asciiTheme="majorHAnsi" w:eastAsiaTheme="majorEastAsia" w:hAnsiTheme="majorHAnsi" w:cstheme="majorBidi"/>
      <w:noProof/>
      <w:color w:val="001432" w:themeColor="text1"/>
      <w:sz w:val="36"/>
      <w:szCs w:val="32"/>
    </w:rPr>
  </w:style>
  <w:style w:type="paragraph" w:styleId="Heading2">
    <w:name w:val="heading 2"/>
    <w:basedOn w:val="Heading1"/>
    <w:next w:val="Normal"/>
    <w:link w:val="Heading2Char"/>
    <w:uiPriority w:val="9"/>
    <w:unhideWhenUsed/>
    <w:qFormat/>
    <w:rsid w:val="00B75A71"/>
    <w:pPr>
      <w:spacing w:before="360" w:after="120"/>
      <w:outlineLvl w:val="1"/>
    </w:pPr>
    <w:rPr>
      <w:color w:val="90A7B2" w:themeColor="accent3"/>
      <w:sz w:val="32"/>
    </w:rPr>
  </w:style>
  <w:style w:type="paragraph" w:styleId="Heading3">
    <w:name w:val="heading 3"/>
    <w:basedOn w:val="Heading1"/>
    <w:next w:val="Normal"/>
    <w:link w:val="Heading3Char"/>
    <w:uiPriority w:val="9"/>
    <w:unhideWhenUsed/>
    <w:qFormat/>
    <w:rsid w:val="00B75A71"/>
    <w:pPr>
      <w:spacing w:after="120"/>
      <w:outlineLvl w:val="2"/>
    </w:pPr>
    <w:rPr>
      <w:color w:val="62808E" w:themeColor="accent3" w:themeShade="BF"/>
      <w:sz w:val="28"/>
    </w:rPr>
  </w:style>
  <w:style w:type="paragraph" w:styleId="Heading4">
    <w:name w:val="heading 4"/>
    <w:basedOn w:val="Normal"/>
    <w:next w:val="Normal"/>
    <w:link w:val="Heading4Char"/>
    <w:uiPriority w:val="9"/>
    <w:unhideWhenUsed/>
    <w:qFormat/>
    <w:rsid w:val="00F47AC8"/>
    <w:pPr>
      <w:keepNext/>
      <w:keepLines/>
      <w:spacing w:before="240"/>
      <w:outlineLvl w:val="3"/>
    </w:pPr>
    <w:rPr>
      <w:rFonts w:asciiTheme="majorHAnsi" w:eastAsiaTheme="majorEastAsia" w:hAnsiTheme="majorHAnsi" w:cstheme="majorHAnsi"/>
      <w:iCs/>
      <w:color w:val="42555F" w:themeColor="accent3" w:themeShade="80"/>
    </w:rPr>
  </w:style>
  <w:style w:type="paragraph" w:styleId="Heading5">
    <w:name w:val="heading 5"/>
    <w:basedOn w:val="Normal"/>
    <w:next w:val="Normal"/>
    <w:link w:val="Heading5Char"/>
    <w:uiPriority w:val="9"/>
    <w:unhideWhenUsed/>
    <w:qFormat/>
    <w:rsid w:val="00B75A71"/>
    <w:pPr>
      <w:keepNext/>
      <w:keepLines/>
      <w:spacing w:before="240" w:after="60"/>
      <w:outlineLvl w:val="4"/>
    </w:pPr>
    <w:rPr>
      <w:rFonts w:asciiTheme="majorHAnsi" w:eastAsiaTheme="majorEastAsia" w:hAnsiTheme="majorHAnsi" w:cstheme="majorHAnsi"/>
      <w:color w:val="001432" w:themeColor="text1"/>
    </w:rPr>
  </w:style>
  <w:style w:type="paragraph" w:styleId="Heading6">
    <w:name w:val="heading 6"/>
    <w:basedOn w:val="Normal"/>
    <w:next w:val="Normal"/>
    <w:link w:val="Heading6Char"/>
    <w:uiPriority w:val="9"/>
    <w:unhideWhenUsed/>
    <w:qFormat/>
    <w:rsid w:val="00C20129"/>
    <w:pPr>
      <w:spacing w:before="240" w:after="20"/>
      <w:outlineLvl w:val="5"/>
    </w:pPr>
    <w:rPr>
      <w:rFonts w:cstheme="minorHAnsi"/>
      <w:color w:val="7962CE" w:themeColor="accent1"/>
    </w:rPr>
  </w:style>
  <w:style w:type="paragraph" w:styleId="Heading7">
    <w:name w:val="heading 7"/>
    <w:basedOn w:val="Normal"/>
    <w:next w:val="Normal"/>
    <w:link w:val="Heading7Char"/>
    <w:uiPriority w:val="9"/>
    <w:unhideWhenUsed/>
    <w:rsid w:val="006D3D74"/>
    <w:pPr>
      <w:keepNext/>
      <w:keepLines/>
      <w:spacing w:before="40"/>
      <w:outlineLvl w:val="6"/>
    </w:pPr>
    <w:rPr>
      <w:rFonts w:asciiTheme="majorHAnsi" w:eastAsiaTheme="majorEastAsia" w:hAnsiTheme="majorHAnsi" w:cstheme="majorBidi"/>
      <w:i/>
      <w:iCs/>
      <w:color w:val="342473" w:themeColor="accent1" w:themeShade="7F"/>
    </w:rPr>
  </w:style>
  <w:style w:type="paragraph" w:styleId="Heading8">
    <w:name w:val="heading 8"/>
    <w:basedOn w:val="Normal"/>
    <w:next w:val="Normal"/>
    <w:link w:val="Heading8Char"/>
    <w:uiPriority w:val="9"/>
    <w:unhideWhenUsed/>
    <w:rsid w:val="007A45F3"/>
    <w:pPr>
      <w:keepNext/>
      <w:keepLines/>
      <w:spacing w:before="40"/>
      <w:outlineLvl w:val="7"/>
    </w:pPr>
    <w:rPr>
      <w:rFonts w:asciiTheme="majorHAnsi" w:eastAsiaTheme="majorEastAsia" w:hAnsiTheme="majorHAnsi" w:cstheme="majorBidi"/>
      <w:color w:val="4F36AD" w:themeColor="accent1" w:themeShade="BF"/>
      <w:szCs w:val="21"/>
    </w:rPr>
  </w:style>
  <w:style w:type="paragraph" w:styleId="Heading9">
    <w:name w:val="heading 9"/>
    <w:basedOn w:val="Normal"/>
    <w:next w:val="Normal"/>
    <w:link w:val="Heading9Char"/>
    <w:uiPriority w:val="9"/>
    <w:unhideWhenUsed/>
    <w:rsid w:val="007A45F3"/>
    <w:pPr>
      <w:keepNext/>
      <w:keepLines/>
      <w:spacing w:before="40"/>
      <w:outlineLvl w:val="8"/>
    </w:pPr>
    <w:rPr>
      <w:rFonts w:asciiTheme="majorHAnsi" w:eastAsiaTheme="majorEastAsia" w:hAnsiTheme="majorHAnsi" w:cstheme="majorBidi"/>
      <w:i/>
      <w:iCs/>
      <w:color w:val="4F36AD" w:themeColor="accent1" w:themeShade="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F7D"/>
    <w:rPr>
      <w:rFonts w:asciiTheme="majorHAnsi" w:eastAsiaTheme="majorEastAsia" w:hAnsiTheme="majorHAnsi" w:cstheme="majorBidi"/>
      <w:noProof/>
      <w:color w:val="001432" w:themeColor="text1"/>
      <w:sz w:val="36"/>
      <w:szCs w:val="32"/>
      <w:lang w:val="en-GB"/>
    </w:rPr>
  </w:style>
  <w:style w:type="character" w:customStyle="1" w:styleId="Heading2Char">
    <w:name w:val="Heading 2 Char"/>
    <w:basedOn w:val="DefaultParagraphFont"/>
    <w:link w:val="Heading2"/>
    <w:uiPriority w:val="9"/>
    <w:rsid w:val="00B75A71"/>
    <w:rPr>
      <w:rFonts w:asciiTheme="majorHAnsi" w:eastAsiaTheme="majorEastAsia" w:hAnsiTheme="majorHAnsi" w:cstheme="majorBidi"/>
      <w:noProof/>
      <w:color w:val="90A7B2" w:themeColor="accent3"/>
      <w:sz w:val="32"/>
      <w:szCs w:val="32"/>
      <w:lang w:val="en-GB"/>
    </w:rPr>
  </w:style>
  <w:style w:type="character" w:customStyle="1" w:styleId="Heading3Char">
    <w:name w:val="Heading 3 Char"/>
    <w:basedOn w:val="DefaultParagraphFont"/>
    <w:link w:val="Heading3"/>
    <w:uiPriority w:val="9"/>
    <w:rsid w:val="00B75A71"/>
    <w:rPr>
      <w:rFonts w:asciiTheme="majorHAnsi" w:eastAsiaTheme="majorEastAsia" w:hAnsiTheme="majorHAnsi" w:cstheme="majorBidi"/>
      <w:noProof/>
      <w:color w:val="62808E" w:themeColor="accent3" w:themeShade="BF"/>
      <w:sz w:val="28"/>
      <w:szCs w:val="32"/>
      <w:lang w:val="en-GB"/>
    </w:rPr>
  </w:style>
  <w:style w:type="character" w:customStyle="1" w:styleId="Heading4Char">
    <w:name w:val="Heading 4 Char"/>
    <w:basedOn w:val="DefaultParagraphFont"/>
    <w:link w:val="Heading4"/>
    <w:uiPriority w:val="9"/>
    <w:rsid w:val="00F47AC8"/>
    <w:rPr>
      <w:rFonts w:asciiTheme="majorHAnsi" w:eastAsiaTheme="majorEastAsia" w:hAnsiTheme="majorHAnsi" w:cstheme="majorHAnsi"/>
      <w:iCs/>
      <w:color w:val="42555F" w:themeColor="accent3" w:themeShade="80"/>
      <w:sz w:val="20"/>
      <w:lang w:val="en-GB"/>
    </w:rPr>
  </w:style>
  <w:style w:type="character" w:customStyle="1" w:styleId="Heading5Char">
    <w:name w:val="Heading 5 Char"/>
    <w:basedOn w:val="DefaultParagraphFont"/>
    <w:link w:val="Heading5"/>
    <w:uiPriority w:val="9"/>
    <w:rsid w:val="00B75A71"/>
    <w:rPr>
      <w:rFonts w:asciiTheme="majorHAnsi" w:eastAsiaTheme="majorEastAsia" w:hAnsiTheme="majorHAnsi" w:cstheme="majorHAnsi"/>
      <w:color w:val="001432" w:themeColor="text1"/>
      <w:sz w:val="20"/>
      <w:lang w:val="en-GB"/>
    </w:rPr>
  </w:style>
  <w:style w:type="character" w:customStyle="1" w:styleId="Heading6Char">
    <w:name w:val="Heading 6 Char"/>
    <w:basedOn w:val="DefaultParagraphFont"/>
    <w:link w:val="Heading6"/>
    <w:uiPriority w:val="9"/>
    <w:rsid w:val="00C20129"/>
    <w:rPr>
      <w:rFonts w:cstheme="minorHAnsi"/>
      <w:color w:val="7962CE" w:themeColor="accent1"/>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342473" w:themeColor="accent1" w:themeShade="7F"/>
    </w:rPr>
  </w:style>
  <w:style w:type="character" w:customStyle="1" w:styleId="Heading8Char">
    <w:name w:val="Heading 8 Char"/>
    <w:basedOn w:val="DefaultParagraphFont"/>
    <w:link w:val="Heading8"/>
    <w:uiPriority w:val="9"/>
    <w:rsid w:val="007A45F3"/>
    <w:rPr>
      <w:rFonts w:asciiTheme="majorHAnsi" w:eastAsiaTheme="majorEastAsia" w:hAnsiTheme="majorHAnsi" w:cstheme="majorBidi"/>
      <w:color w:val="4F36AD" w:themeColor="accent1" w:themeShade="BF"/>
      <w:sz w:val="20"/>
      <w:szCs w:val="21"/>
    </w:rPr>
  </w:style>
  <w:style w:type="character" w:customStyle="1" w:styleId="Heading9Char">
    <w:name w:val="Heading 9 Char"/>
    <w:basedOn w:val="DefaultParagraphFont"/>
    <w:link w:val="Heading9"/>
    <w:uiPriority w:val="9"/>
    <w:rsid w:val="007A45F3"/>
    <w:rPr>
      <w:rFonts w:asciiTheme="majorHAnsi" w:eastAsiaTheme="majorEastAsia" w:hAnsiTheme="majorHAnsi" w:cstheme="majorBidi"/>
      <w:i/>
      <w:iCs/>
      <w:color w:val="4F36AD" w:themeColor="accent1" w:themeShade="BF"/>
      <w:sz w:val="20"/>
      <w:szCs w:val="21"/>
    </w:rPr>
  </w:style>
  <w:style w:type="paragraph" w:styleId="Title">
    <w:name w:val="Title"/>
    <w:basedOn w:val="Normal"/>
    <w:next w:val="Normal"/>
    <w:link w:val="TitleChar"/>
    <w:uiPriority w:val="10"/>
    <w:qFormat/>
    <w:rsid w:val="00E56020"/>
    <w:pPr>
      <w:contextualSpacing/>
    </w:pPr>
    <w:rPr>
      <w:rFonts w:asciiTheme="majorHAnsi" w:eastAsiaTheme="majorEastAsia" w:hAnsiTheme="majorHAnsi" w:cstheme="majorBidi"/>
      <w:color w:val="001432" w:themeColor="text1"/>
      <w:spacing w:val="-10"/>
      <w:kern w:val="28"/>
      <w:sz w:val="72"/>
      <w:szCs w:val="56"/>
    </w:rPr>
  </w:style>
  <w:style w:type="character" w:customStyle="1" w:styleId="TitleChar">
    <w:name w:val="Title Char"/>
    <w:basedOn w:val="DefaultParagraphFont"/>
    <w:link w:val="Title"/>
    <w:uiPriority w:val="10"/>
    <w:rsid w:val="00E56020"/>
    <w:rPr>
      <w:rFonts w:asciiTheme="majorHAnsi" w:eastAsiaTheme="majorEastAsia" w:hAnsiTheme="majorHAnsi" w:cstheme="majorBidi"/>
      <w:color w:val="001432" w:themeColor="text1"/>
      <w:spacing w:val="-10"/>
      <w:kern w:val="28"/>
      <w:sz w:val="72"/>
      <w:szCs w:val="56"/>
    </w:rPr>
  </w:style>
  <w:style w:type="character" w:styleId="Emphasis">
    <w:name w:val="Emphasis"/>
    <w:basedOn w:val="DefaultParagraphFont"/>
    <w:uiPriority w:val="20"/>
    <w:rsid w:val="0093630A"/>
    <w:rPr>
      <w:i/>
      <w:iCs/>
    </w:rPr>
  </w:style>
  <w:style w:type="character" w:styleId="Strong">
    <w:name w:val="Strong"/>
    <w:aliases w:val="Bold"/>
    <w:basedOn w:val="DefaultParagraphFont"/>
    <w:uiPriority w:val="22"/>
    <w:qFormat/>
    <w:rsid w:val="008D4D89"/>
    <w:rPr>
      <w:rFonts w:asciiTheme="majorHAnsi" w:hAnsiTheme="majorHAnsi"/>
      <w:b w:val="0"/>
      <w:bCs/>
    </w:rPr>
  </w:style>
  <w:style w:type="paragraph" w:styleId="Quote">
    <w:name w:val="Quote"/>
    <w:basedOn w:val="Normal"/>
    <w:next w:val="Normal"/>
    <w:link w:val="QuoteChar"/>
    <w:uiPriority w:val="29"/>
    <w:pPr>
      <w:spacing w:before="200"/>
      <w:ind w:left="864" w:right="864"/>
      <w:jc w:val="center"/>
    </w:pPr>
    <w:rPr>
      <w:i/>
      <w:iCs/>
      <w:color w:val="0042A5" w:themeColor="text1" w:themeTint="BF"/>
    </w:rPr>
  </w:style>
  <w:style w:type="character" w:customStyle="1" w:styleId="QuoteChar">
    <w:name w:val="Quote Char"/>
    <w:basedOn w:val="DefaultParagraphFont"/>
    <w:link w:val="Quote"/>
    <w:uiPriority w:val="29"/>
    <w:rPr>
      <w:i/>
      <w:iCs/>
      <w:color w:val="0042A5" w:themeColor="text1" w:themeTint="BF"/>
    </w:rPr>
  </w:style>
  <w:style w:type="paragraph" w:styleId="IntenseQuote">
    <w:name w:val="Intense Quote"/>
    <w:basedOn w:val="Normal"/>
    <w:next w:val="Normal"/>
    <w:link w:val="IntenseQuoteChar"/>
    <w:uiPriority w:val="30"/>
    <w:rsid w:val="00645252"/>
    <w:pPr>
      <w:pBdr>
        <w:top w:val="single" w:sz="4" w:space="10" w:color="352474" w:themeColor="accent1" w:themeShade="80"/>
        <w:bottom w:val="single" w:sz="4" w:space="10" w:color="352474" w:themeColor="accent1" w:themeShade="80"/>
      </w:pBdr>
      <w:spacing w:before="360" w:after="360"/>
      <w:ind w:left="864" w:right="864"/>
      <w:jc w:val="center"/>
    </w:pPr>
    <w:rPr>
      <w:i/>
      <w:iCs/>
      <w:color w:val="352474" w:themeColor="accent1" w:themeShade="80"/>
    </w:rPr>
  </w:style>
  <w:style w:type="character" w:customStyle="1" w:styleId="IntenseQuoteChar">
    <w:name w:val="Intense Quote Char"/>
    <w:basedOn w:val="DefaultParagraphFont"/>
    <w:link w:val="IntenseQuote"/>
    <w:uiPriority w:val="30"/>
    <w:rsid w:val="00645252"/>
    <w:rPr>
      <w:i/>
      <w:iCs/>
      <w:color w:val="352474" w:themeColor="accent1" w:themeShade="80"/>
    </w:rPr>
  </w:style>
  <w:style w:type="character" w:styleId="Hyperlink">
    <w:name w:val="Hyperlink"/>
    <w:basedOn w:val="DefaultParagraphFont"/>
    <w:uiPriority w:val="99"/>
    <w:unhideWhenUsed/>
    <w:qFormat/>
    <w:rsid w:val="00645252"/>
    <w:rPr>
      <w:color w:val="352474" w:themeColor="accent1" w:themeShade="80"/>
      <w:u w:val="single"/>
    </w:rPr>
  </w:style>
  <w:style w:type="character" w:styleId="FollowedHyperlink">
    <w:name w:val="FollowedHyperlink"/>
    <w:basedOn w:val="DefaultParagraphFont"/>
    <w:uiPriority w:val="99"/>
    <w:unhideWhenUsed/>
    <w:rPr>
      <w:color w:val="1ED7D7" w:themeColor="followedHyperlink"/>
      <w:u w:val="single"/>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7962CE" w:themeColor="accent1" w:shadow="1" w:frame="1"/>
        <w:left w:val="single" w:sz="2" w:space="10" w:color="7962CE" w:themeColor="accent1" w:shadow="1" w:frame="1"/>
        <w:bottom w:val="single" w:sz="2" w:space="10" w:color="7962CE" w:themeColor="accent1" w:shadow="1" w:frame="1"/>
        <w:right w:val="single" w:sz="2" w:space="10" w:color="7962CE" w:themeColor="accent1" w:shadow="1" w:frame="1"/>
      </w:pBdr>
      <w:ind w:left="1152" w:right="1152"/>
    </w:pPr>
    <w:rPr>
      <w:i/>
      <w:iCs/>
      <w:color w:val="352474" w:themeColor="accent1" w:themeShade="80"/>
    </w:rPr>
  </w:style>
  <w:style w:type="paragraph" w:styleId="BodyText3">
    <w:name w:val="Body Text 3"/>
    <w:basedOn w:val="Normal"/>
    <w:link w:val="BodyText3Char"/>
    <w:uiPriority w:val="99"/>
    <w:semiHidden/>
    <w:unhideWhenUsed/>
    <w:rsid w:val="00645252"/>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645252"/>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1E0013"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table" w:styleId="TableGrid">
    <w:name w:val="Table Grid"/>
    <w:basedOn w:val="TableNormal"/>
    <w:uiPriority w:val="39"/>
    <w:rsid w:val="00A573E4"/>
    <w:tblPr>
      <w:tblBorders>
        <w:top w:val="single" w:sz="4" w:space="0" w:color="90A7B2" w:themeColor="accent3"/>
        <w:bottom w:val="single" w:sz="4" w:space="0" w:color="90A7B2" w:themeColor="accent3"/>
        <w:insideH w:val="single" w:sz="4" w:space="0" w:color="90A7B2" w:themeColor="accent3"/>
      </w:tblBorders>
      <w:tblCellMar>
        <w:top w:w="113" w:type="dxa"/>
        <w:left w:w="0" w:type="dxa"/>
        <w:bottom w:w="170" w:type="dxa"/>
        <w:right w:w="142" w:type="dxa"/>
      </w:tblCellMar>
    </w:tblPr>
    <w:tblStylePr w:type="lastCol">
      <w:tblPr>
        <w:tblCellMar>
          <w:top w:w="85" w:type="dxa"/>
          <w:left w:w="113" w:type="dxa"/>
          <w:bottom w:w="170" w:type="dxa"/>
          <w:right w:w="142" w:type="dxa"/>
        </w:tblCellMar>
      </w:tblPr>
    </w:tblStylePr>
  </w:style>
  <w:style w:type="paragraph" w:customStyle="1" w:styleId="Bullets1">
    <w:name w:val="Bullets 1"/>
    <w:basedOn w:val="Normal"/>
    <w:uiPriority w:val="1"/>
    <w:qFormat/>
    <w:rsid w:val="00FD283C"/>
    <w:pPr>
      <w:numPr>
        <w:numId w:val="1"/>
      </w:numPr>
      <w:spacing w:after="60"/>
      <w:ind w:left="220" w:hanging="210"/>
    </w:pPr>
  </w:style>
  <w:style w:type="paragraph" w:customStyle="1" w:styleId="bullet2">
    <w:name w:val="bullet 2"/>
    <w:basedOn w:val="Normal"/>
    <w:uiPriority w:val="2"/>
    <w:qFormat/>
    <w:rsid w:val="00B75A71"/>
    <w:pPr>
      <w:numPr>
        <w:ilvl w:val="1"/>
        <w:numId w:val="2"/>
      </w:numPr>
      <w:ind w:left="620" w:hanging="274"/>
      <w:contextualSpacing/>
    </w:pPr>
    <w:rPr>
      <w:sz w:val="18"/>
    </w:rPr>
  </w:style>
  <w:style w:type="paragraph" w:styleId="TOC1">
    <w:name w:val="toc 1"/>
    <w:basedOn w:val="Normal"/>
    <w:next w:val="Normal"/>
    <w:autoRedefine/>
    <w:uiPriority w:val="39"/>
    <w:unhideWhenUsed/>
    <w:rsid w:val="00DA09F9"/>
    <w:pPr>
      <w:tabs>
        <w:tab w:val="right" w:leader="underscore" w:pos="9027"/>
      </w:tabs>
      <w:spacing w:after="60"/>
    </w:pPr>
    <w:rPr>
      <w:rFonts w:asciiTheme="majorHAnsi" w:hAnsiTheme="majorHAnsi" w:cstheme="majorHAnsi"/>
      <w:bCs/>
      <w:noProof/>
      <w:color w:val="001432" w:themeColor="text1"/>
      <w:szCs w:val="24"/>
      <w:u w:color="001432" w:themeColor="text1"/>
    </w:rPr>
  </w:style>
  <w:style w:type="paragraph" w:styleId="TOC2">
    <w:name w:val="toc 2"/>
    <w:basedOn w:val="Normal"/>
    <w:next w:val="Normal"/>
    <w:autoRedefine/>
    <w:uiPriority w:val="39"/>
    <w:unhideWhenUsed/>
    <w:rsid w:val="00E56020"/>
    <w:pPr>
      <w:tabs>
        <w:tab w:val="right" w:pos="9017"/>
      </w:tabs>
      <w:spacing w:after="60"/>
    </w:pPr>
    <w:rPr>
      <w:rFonts w:cstheme="minorHAnsi"/>
      <w:bCs/>
      <w:noProof/>
      <w:color w:val="62808E" w:themeColor="accent3" w:themeShade="BF"/>
    </w:rPr>
  </w:style>
  <w:style w:type="paragraph" w:styleId="TOC3">
    <w:name w:val="toc 3"/>
    <w:basedOn w:val="Normal"/>
    <w:next w:val="Normal"/>
    <w:autoRedefine/>
    <w:uiPriority w:val="39"/>
    <w:unhideWhenUsed/>
    <w:rsid w:val="00E56020"/>
    <w:pPr>
      <w:tabs>
        <w:tab w:val="right" w:pos="9017"/>
      </w:tabs>
      <w:spacing w:after="60"/>
      <w:ind w:left="284"/>
    </w:pPr>
    <w:rPr>
      <w:rFonts w:cstheme="minorHAnsi"/>
      <w:noProof/>
      <w:color w:val="62808E" w:themeColor="accent3" w:themeShade="BF"/>
    </w:rPr>
  </w:style>
  <w:style w:type="paragraph" w:styleId="TOC4">
    <w:name w:val="toc 4"/>
    <w:basedOn w:val="Normal"/>
    <w:next w:val="Normal"/>
    <w:autoRedefine/>
    <w:uiPriority w:val="39"/>
    <w:unhideWhenUsed/>
    <w:rsid w:val="00E56020"/>
    <w:pPr>
      <w:tabs>
        <w:tab w:val="right" w:pos="9017"/>
      </w:tabs>
      <w:ind w:left="400"/>
    </w:pPr>
    <w:rPr>
      <w:rFonts w:cstheme="minorHAnsi"/>
      <w:noProof/>
      <w:color w:val="42555F" w:themeColor="accent3" w:themeShade="80"/>
    </w:rPr>
  </w:style>
  <w:style w:type="paragraph" w:styleId="TOC5">
    <w:name w:val="toc 5"/>
    <w:basedOn w:val="Normal"/>
    <w:next w:val="Normal"/>
    <w:autoRedefine/>
    <w:uiPriority w:val="39"/>
    <w:unhideWhenUsed/>
    <w:rsid w:val="00921068"/>
    <w:pPr>
      <w:ind w:left="600"/>
    </w:pPr>
    <w:rPr>
      <w:rFonts w:cstheme="minorHAnsi"/>
    </w:rPr>
  </w:style>
  <w:style w:type="paragraph" w:styleId="TOC6">
    <w:name w:val="toc 6"/>
    <w:basedOn w:val="Normal"/>
    <w:next w:val="Normal"/>
    <w:autoRedefine/>
    <w:uiPriority w:val="39"/>
    <w:unhideWhenUsed/>
    <w:rsid w:val="00921068"/>
    <w:pPr>
      <w:ind w:left="800"/>
    </w:pPr>
    <w:rPr>
      <w:rFonts w:cstheme="minorHAnsi"/>
    </w:rPr>
  </w:style>
  <w:style w:type="paragraph" w:styleId="TOC7">
    <w:name w:val="toc 7"/>
    <w:basedOn w:val="Normal"/>
    <w:next w:val="Normal"/>
    <w:autoRedefine/>
    <w:uiPriority w:val="39"/>
    <w:unhideWhenUsed/>
    <w:rsid w:val="00921068"/>
    <w:pPr>
      <w:ind w:left="1000"/>
    </w:pPr>
    <w:rPr>
      <w:rFonts w:cstheme="minorHAnsi"/>
    </w:rPr>
  </w:style>
  <w:style w:type="paragraph" w:styleId="TOC8">
    <w:name w:val="toc 8"/>
    <w:basedOn w:val="Normal"/>
    <w:next w:val="Normal"/>
    <w:autoRedefine/>
    <w:uiPriority w:val="39"/>
    <w:unhideWhenUsed/>
    <w:rsid w:val="00921068"/>
    <w:pPr>
      <w:ind w:left="1200"/>
    </w:pPr>
    <w:rPr>
      <w:rFonts w:cstheme="minorHAnsi"/>
    </w:rPr>
  </w:style>
  <w:style w:type="paragraph" w:styleId="TOC9">
    <w:name w:val="toc 9"/>
    <w:basedOn w:val="Normal"/>
    <w:next w:val="Normal"/>
    <w:autoRedefine/>
    <w:uiPriority w:val="39"/>
    <w:unhideWhenUsed/>
    <w:rsid w:val="00921068"/>
    <w:pPr>
      <w:ind w:left="1400"/>
    </w:pPr>
    <w:rPr>
      <w:rFonts w:cstheme="minorHAnsi"/>
    </w:rPr>
  </w:style>
  <w:style w:type="paragraph" w:styleId="NormalWeb">
    <w:name w:val="Normal (Web)"/>
    <w:basedOn w:val="Normal"/>
    <w:uiPriority w:val="99"/>
    <w:unhideWhenUsed/>
    <w:rsid w:val="00985ECC"/>
    <w:pPr>
      <w:spacing w:before="100" w:beforeAutospacing="1" w:after="100" w:afterAutospacing="1"/>
    </w:pPr>
    <w:rPr>
      <w:rFonts w:ascii="Times New Roman" w:hAnsi="Times New Roman" w:cs="Times New Roman"/>
      <w:sz w:val="24"/>
      <w:szCs w:val="24"/>
    </w:rPr>
  </w:style>
  <w:style w:type="character" w:customStyle="1" w:styleId="gmail-s1">
    <w:name w:val="gmail-s1"/>
    <w:basedOn w:val="DefaultParagraphFont"/>
    <w:rsid w:val="00ED3F82"/>
  </w:style>
  <w:style w:type="character" w:customStyle="1" w:styleId="apple-converted-space">
    <w:name w:val="apple-converted-space"/>
    <w:basedOn w:val="DefaultParagraphFont"/>
    <w:rsid w:val="00EA6A48"/>
  </w:style>
  <w:style w:type="paragraph" w:styleId="Subtitle">
    <w:name w:val="Subtitle"/>
    <w:basedOn w:val="Normal"/>
    <w:next w:val="Normal"/>
    <w:link w:val="SubtitleChar"/>
    <w:uiPriority w:val="11"/>
    <w:rsid w:val="00753D09"/>
    <w:pPr>
      <w:numPr>
        <w:ilvl w:val="1"/>
      </w:numPr>
      <w:spacing w:after="160"/>
    </w:pPr>
    <w:rPr>
      <w:rFonts w:asciiTheme="majorHAnsi" w:hAnsiTheme="majorHAnsi" w:cstheme="majorHAnsi"/>
      <w:color w:val="1ED7D7" w:themeColor="accent2"/>
      <w:spacing w:val="15"/>
      <w:sz w:val="44"/>
    </w:rPr>
  </w:style>
  <w:style w:type="character" w:customStyle="1" w:styleId="SubtitleChar">
    <w:name w:val="Subtitle Char"/>
    <w:basedOn w:val="DefaultParagraphFont"/>
    <w:link w:val="Subtitle"/>
    <w:uiPriority w:val="11"/>
    <w:rsid w:val="00753D09"/>
    <w:rPr>
      <w:rFonts w:asciiTheme="majorHAnsi" w:eastAsiaTheme="minorEastAsia" w:hAnsiTheme="majorHAnsi" w:cstheme="majorHAnsi"/>
      <w:color w:val="1ED7D7" w:themeColor="accent2"/>
      <w:spacing w:val="15"/>
      <w:sz w:val="44"/>
    </w:rPr>
  </w:style>
  <w:style w:type="paragraph" w:customStyle="1" w:styleId="QusetionPage">
    <w:name w:val="Qusetion Page"/>
    <w:basedOn w:val="Heading1"/>
    <w:link w:val="QusetionPageChar"/>
    <w:uiPriority w:val="13"/>
    <w:qFormat/>
    <w:rsid w:val="003F5F64"/>
    <w:pPr>
      <w:tabs>
        <w:tab w:val="left" w:pos="7371"/>
      </w:tabs>
    </w:pPr>
  </w:style>
  <w:style w:type="table" w:customStyle="1" w:styleId="TableGridLight1">
    <w:name w:val="Table Grid Light1"/>
    <w:basedOn w:val="TableNormal"/>
    <w:uiPriority w:val="40"/>
    <w:rsid w:val="00D16E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QusetionPageChar">
    <w:name w:val="Qusetion Page Char"/>
    <w:basedOn w:val="Heading1Char"/>
    <w:link w:val="QusetionPage"/>
    <w:uiPriority w:val="13"/>
    <w:rsid w:val="00D16E7A"/>
    <w:rPr>
      <w:rFonts w:asciiTheme="majorHAnsi" w:eastAsiaTheme="majorEastAsia" w:hAnsiTheme="majorHAnsi" w:cstheme="majorBidi"/>
      <w:noProof/>
      <w:color w:val="001432" w:themeColor="text1"/>
      <w:sz w:val="40"/>
      <w:szCs w:val="32"/>
      <w:lang w:val="en-GB"/>
    </w:rPr>
  </w:style>
  <w:style w:type="paragraph" w:customStyle="1" w:styleId="Biographies">
    <w:name w:val="Biographies"/>
    <w:basedOn w:val="Normal"/>
    <w:link w:val="BiographiesChar"/>
    <w:uiPriority w:val="13"/>
    <w:qFormat/>
    <w:rsid w:val="00FD486B"/>
    <w:rPr>
      <w:color w:val="7962CE" w:themeColor="accent1"/>
      <w:sz w:val="24"/>
    </w:rPr>
  </w:style>
  <w:style w:type="paragraph" w:styleId="TOCHeading">
    <w:name w:val="TOC Heading"/>
    <w:basedOn w:val="Heading1"/>
    <w:next w:val="Normal"/>
    <w:uiPriority w:val="39"/>
    <w:unhideWhenUsed/>
    <w:rsid w:val="00F27246"/>
    <w:pPr>
      <w:spacing w:after="0" w:line="259" w:lineRule="auto"/>
      <w:outlineLvl w:val="9"/>
    </w:pPr>
    <w:rPr>
      <w:noProof w:val="0"/>
      <w:color w:val="4F36AD" w:themeColor="accent1" w:themeShade="BF"/>
      <w:sz w:val="32"/>
    </w:rPr>
  </w:style>
  <w:style w:type="character" w:customStyle="1" w:styleId="BiographiesChar">
    <w:name w:val="Biographies Char"/>
    <w:basedOn w:val="Heading3Char"/>
    <w:link w:val="Biographies"/>
    <w:uiPriority w:val="13"/>
    <w:rsid w:val="00FD486B"/>
    <w:rPr>
      <w:rFonts w:asciiTheme="majorHAnsi" w:eastAsiaTheme="majorEastAsia" w:hAnsiTheme="majorHAnsi" w:cstheme="majorBidi"/>
      <w:noProof/>
      <w:color w:val="7962CE" w:themeColor="accent1"/>
      <w:sz w:val="24"/>
      <w:szCs w:val="32"/>
      <w:lang w:val="en-GB"/>
    </w:rPr>
  </w:style>
  <w:style w:type="table" w:customStyle="1" w:styleId="PlainTable21">
    <w:name w:val="Plain Table 21"/>
    <w:basedOn w:val="TableNormal"/>
    <w:uiPriority w:val="42"/>
    <w:rsid w:val="00311E09"/>
    <w:rPr>
      <w:color w:val="001432" w:themeColor="text1"/>
    </w:rPr>
    <w:tblPr>
      <w:tblStyleRowBandSize w:val="1"/>
      <w:tblStyleColBandSize w:val="1"/>
      <w:tblBorders>
        <w:insideV w:val="single" w:sz="4" w:space="0" w:color="90A7B2" w:themeColor="accent3"/>
      </w:tblBorders>
    </w:tblPr>
    <w:tcPr>
      <w:shd w:val="clear" w:color="auto" w:fill="FFFFFF" w:themeFill="background1"/>
      <w:tcMar>
        <w:left w:w="0" w:type="dxa"/>
        <w:right w:w="142" w:type="dxa"/>
      </w:tcMar>
    </w:tcPr>
    <w:tblStylePr w:type="firstRow">
      <w:rPr>
        <w:b/>
        <w:bCs/>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tcBorders>
          <w:top w:val="nil"/>
          <w:left w:val="nil"/>
          <w:bottom w:val="nil"/>
          <w:right w:val="nil"/>
          <w:insideH w:val="nil"/>
          <w:insideV w:val="nil"/>
          <w:tl2br w:val="nil"/>
          <w:tr2bl w:val="nil"/>
        </w:tcBorders>
        <w:shd w:val="clear" w:color="auto" w:fill="FFFFFF" w:themeFill="background1"/>
      </w:tcPr>
    </w:tblStylePr>
    <w:tblStylePr w:type="firstCol">
      <w:rPr>
        <w:b/>
        <w:bCs/>
      </w:rPr>
      <w:tblPr/>
      <w:tcPr>
        <w:tcBorders>
          <w:top w:val="nil"/>
          <w:left w:val="nil"/>
          <w:bottom w:val="nil"/>
          <w:right w:val="nil"/>
          <w:insideH w:val="nil"/>
          <w:insideV w:val="nil"/>
          <w:tl2br w:val="nil"/>
          <w:tr2bl w:val="nil"/>
        </w:tcBorders>
        <w:tcMar>
          <w:top w:w="0" w:type="nil"/>
          <w:left w:w="0" w:type="dxa"/>
          <w:bottom w:w="0" w:type="nil"/>
          <w:right w:w="113" w:type="dxa"/>
        </w:tcMar>
      </w:tcPr>
    </w:tblStylePr>
    <w:tblStylePr w:type="lastCol">
      <w:rPr>
        <w:b/>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nil"/>
          <w:right w:val="nil"/>
          <w:insideH w:val="nil"/>
          <w:insideV w:val="nil"/>
          <w:tl2br w:val="nil"/>
          <w:tr2bl w:val="nil"/>
        </w:tcBorders>
        <w:shd w:val="clear" w:color="auto" w:fill="FFFFFF" w:themeFill="background1"/>
      </w:tcPr>
    </w:tblStylePr>
    <w:tblStylePr w:type="band1Horz">
      <w:tblPr/>
      <w:tcPr>
        <w:tcBorders>
          <w:top w:val="nil"/>
          <w:left w:val="nil"/>
          <w:bottom w:val="nil"/>
          <w:right w:val="nil"/>
          <w:insideH w:val="nil"/>
          <w:insideV w:val="nil"/>
          <w:tl2br w:val="nil"/>
          <w:tr2bl w:val="nil"/>
        </w:tcBorders>
        <w:shd w:val="clear" w:color="auto" w:fill="FFFFFF" w:themeFill="background1"/>
      </w:tcPr>
    </w:tblStylePr>
    <w:tblStylePr w:type="band2Horz">
      <w:tblPr/>
      <w:tcPr>
        <w:tcBorders>
          <w:top w:val="nil"/>
          <w:left w:val="nil"/>
          <w:bottom w:val="nil"/>
          <w:right w:val="nil"/>
          <w:insideH w:val="nil"/>
          <w:insideV w:val="nil"/>
          <w:tl2br w:val="nil"/>
          <w:tr2bl w:val="nil"/>
        </w:tcBorders>
        <w:shd w:val="clear" w:color="auto" w:fill="FFFFFF" w:themeFill="background1"/>
      </w:tcPr>
    </w:tblStylePr>
    <w:tblStylePr w:type="seCell">
      <w:tblPr/>
      <w:tcPr>
        <w:tcBorders>
          <w:top w:val="nil"/>
          <w:left w:val="nil"/>
          <w:bottom w:val="nil"/>
          <w:right w:val="nil"/>
          <w:insideH w:val="nil"/>
          <w:insideV w:val="nil"/>
          <w:tl2br w:val="nil"/>
          <w:tr2bl w:val="nil"/>
        </w:tcBorders>
        <w:shd w:val="clear" w:color="auto" w:fill="FFFFFF" w:themeFill="background1"/>
      </w:tcPr>
    </w:tblStylePr>
  </w:style>
  <w:style w:type="paragraph" w:customStyle="1" w:styleId="Casestudytitles">
    <w:name w:val="Case study titles"/>
    <w:basedOn w:val="Heading3"/>
    <w:link w:val="CasestudytitlesChar"/>
    <w:uiPriority w:val="14"/>
    <w:qFormat/>
    <w:rsid w:val="00825F31"/>
    <w:pPr>
      <w:pBdr>
        <w:top w:val="single" w:sz="4" w:space="1" w:color="90A7B2" w:themeColor="accent3"/>
      </w:pBdr>
    </w:pPr>
  </w:style>
  <w:style w:type="character" w:customStyle="1" w:styleId="CasestudytitlesChar">
    <w:name w:val="Case study titles Char"/>
    <w:basedOn w:val="Heading3Char"/>
    <w:link w:val="Casestudytitles"/>
    <w:uiPriority w:val="14"/>
    <w:rsid w:val="00825F31"/>
    <w:rPr>
      <w:rFonts w:asciiTheme="majorHAnsi" w:eastAsiaTheme="majorEastAsia" w:hAnsiTheme="majorHAnsi" w:cstheme="majorBidi"/>
      <w:noProof/>
      <w:color w:val="90A7B2" w:themeColor="accent3"/>
      <w:sz w:val="28"/>
      <w:szCs w:val="32"/>
      <w:lang w:val="en-GB"/>
    </w:rPr>
  </w:style>
  <w:style w:type="paragraph" w:styleId="ListParagraph">
    <w:name w:val="List Paragraph"/>
    <w:aliases w:val="Numbered List"/>
    <w:basedOn w:val="Normal"/>
    <w:uiPriority w:val="34"/>
    <w:unhideWhenUsed/>
    <w:qFormat/>
    <w:rsid w:val="00C20129"/>
    <w:pPr>
      <w:numPr>
        <w:numId w:val="3"/>
      </w:numPr>
      <w:tabs>
        <w:tab w:val="left" w:pos="252"/>
      </w:tabs>
      <w:contextualSpacing/>
    </w:pPr>
  </w:style>
  <w:style w:type="paragraph" w:styleId="NoSpacing">
    <w:name w:val="No Spacing"/>
    <w:basedOn w:val="Normal"/>
    <w:link w:val="NoSpacingChar"/>
    <w:uiPriority w:val="25"/>
    <w:qFormat/>
    <w:rsid w:val="002F2072"/>
    <w:pPr>
      <w:spacing w:after="0"/>
    </w:pPr>
  </w:style>
  <w:style w:type="character" w:customStyle="1" w:styleId="NoSpacingChar">
    <w:name w:val="No Spacing Char"/>
    <w:basedOn w:val="DefaultParagraphFont"/>
    <w:link w:val="NoSpacing"/>
    <w:uiPriority w:val="25"/>
    <w:rsid w:val="00902929"/>
    <w:rPr>
      <w:sz w:val="20"/>
      <w:lang w:val="en-GB"/>
    </w:rPr>
  </w:style>
  <w:style w:type="paragraph" w:customStyle="1" w:styleId="rightalign">
    <w:name w:val="right align"/>
    <w:basedOn w:val="Footer"/>
    <w:link w:val="rightalignChar"/>
    <w:rsid w:val="00902929"/>
    <w:pPr>
      <w:jc w:val="right"/>
    </w:pPr>
    <w:rPr>
      <w:sz w:val="14"/>
      <w:szCs w:val="14"/>
    </w:rPr>
  </w:style>
  <w:style w:type="character" w:customStyle="1" w:styleId="rightalignChar">
    <w:name w:val="right align Char"/>
    <w:basedOn w:val="FooterChar"/>
    <w:link w:val="rightalign"/>
    <w:rsid w:val="00902929"/>
    <w:rPr>
      <w:sz w:val="14"/>
      <w:szCs w:val="14"/>
    </w:rPr>
  </w:style>
  <w:style w:type="character" w:customStyle="1" w:styleId="UnresolvedMention1">
    <w:name w:val="Unresolved Mention1"/>
    <w:basedOn w:val="DefaultParagraphFont"/>
    <w:uiPriority w:val="99"/>
    <w:semiHidden/>
    <w:unhideWhenUsed/>
    <w:rsid w:val="00EE434D"/>
    <w:rPr>
      <w:color w:val="605E5C"/>
      <w:shd w:val="clear" w:color="auto" w:fill="E1DFDD"/>
    </w:rPr>
  </w:style>
  <w:style w:type="character" w:customStyle="1" w:styleId="UnresolvedMention2">
    <w:name w:val="Unresolved Mention2"/>
    <w:basedOn w:val="DefaultParagraphFont"/>
    <w:uiPriority w:val="99"/>
    <w:semiHidden/>
    <w:unhideWhenUsed/>
    <w:rsid w:val="00BF126B"/>
    <w:rPr>
      <w:color w:val="605E5C"/>
      <w:shd w:val="clear" w:color="auto" w:fill="E1DFDD"/>
    </w:rPr>
  </w:style>
  <w:style w:type="character" w:customStyle="1" w:styleId="UnresolvedMention3">
    <w:name w:val="Unresolved Mention3"/>
    <w:basedOn w:val="DefaultParagraphFont"/>
    <w:uiPriority w:val="99"/>
    <w:semiHidden/>
    <w:unhideWhenUsed/>
    <w:rsid w:val="00726669"/>
    <w:rPr>
      <w:color w:val="605E5C"/>
      <w:shd w:val="clear" w:color="auto" w:fill="E1DFDD"/>
    </w:rPr>
  </w:style>
  <w:style w:type="paragraph" w:styleId="Revision">
    <w:name w:val="Revision"/>
    <w:hidden/>
    <w:uiPriority w:val="99"/>
    <w:semiHidden/>
    <w:rsid w:val="00F77502"/>
    <w:rPr>
      <w:sz w:val="20"/>
      <w:szCs w:val="20"/>
      <w:lang w:val="en-GB"/>
    </w:rPr>
  </w:style>
  <w:style w:type="paragraph" w:customStyle="1" w:styleId="Default">
    <w:name w:val="Default"/>
    <w:rsid w:val="006255DB"/>
    <w:pPr>
      <w:autoSpaceDE w:val="0"/>
      <w:autoSpaceDN w:val="0"/>
      <w:adjustRightInd w:val="0"/>
    </w:pPr>
    <w:rPr>
      <w:rFonts w:ascii="Arial Nova" w:hAnsi="Arial Nova" w:cs="Arial Nova"/>
      <w:color w:val="000000"/>
      <w:sz w:val="24"/>
      <w:szCs w:val="24"/>
      <w:lang w:val="en-IN"/>
    </w:rPr>
  </w:style>
  <w:style w:type="character" w:customStyle="1" w:styleId="s9">
    <w:name w:val="s9"/>
    <w:basedOn w:val="DefaultParagraphFont"/>
    <w:rsid w:val="00781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694">
      <w:bodyDiv w:val="1"/>
      <w:marLeft w:val="0"/>
      <w:marRight w:val="0"/>
      <w:marTop w:val="0"/>
      <w:marBottom w:val="0"/>
      <w:divBdr>
        <w:top w:val="none" w:sz="0" w:space="0" w:color="auto"/>
        <w:left w:val="none" w:sz="0" w:space="0" w:color="auto"/>
        <w:bottom w:val="none" w:sz="0" w:space="0" w:color="auto"/>
        <w:right w:val="none" w:sz="0" w:space="0" w:color="auto"/>
      </w:divBdr>
    </w:div>
    <w:div w:id="52891898">
      <w:bodyDiv w:val="1"/>
      <w:marLeft w:val="0"/>
      <w:marRight w:val="0"/>
      <w:marTop w:val="0"/>
      <w:marBottom w:val="0"/>
      <w:divBdr>
        <w:top w:val="none" w:sz="0" w:space="0" w:color="auto"/>
        <w:left w:val="none" w:sz="0" w:space="0" w:color="auto"/>
        <w:bottom w:val="none" w:sz="0" w:space="0" w:color="auto"/>
        <w:right w:val="none" w:sz="0" w:space="0" w:color="auto"/>
      </w:divBdr>
    </w:div>
    <w:div w:id="93937056">
      <w:bodyDiv w:val="1"/>
      <w:marLeft w:val="0"/>
      <w:marRight w:val="0"/>
      <w:marTop w:val="0"/>
      <w:marBottom w:val="0"/>
      <w:divBdr>
        <w:top w:val="none" w:sz="0" w:space="0" w:color="auto"/>
        <w:left w:val="none" w:sz="0" w:space="0" w:color="auto"/>
        <w:bottom w:val="none" w:sz="0" w:space="0" w:color="auto"/>
        <w:right w:val="none" w:sz="0" w:space="0" w:color="auto"/>
      </w:divBdr>
    </w:div>
    <w:div w:id="214047528">
      <w:bodyDiv w:val="1"/>
      <w:marLeft w:val="0"/>
      <w:marRight w:val="0"/>
      <w:marTop w:val="0"/>
      <w:marBottom w:val="0"/>
      <w:divBdr>
        <w:top w:val="none" w:sz="0" w:space="0" w:color="auto"/>
        <w:left w:val="none" w:sz="0" w:space="0" w:color="auto"/>
        <w:bottom w:val="none" w:sz="0" w:space="0" w:color="auto"/>
        <w:right w:val="none" w:sz="0" w:space="0" w:color="auto"/>
      </w:divBdr>
    </w:div>
    <w:div w:id="269550611">
      <w:bodyDiv w:val="1"/>
      <w:marLeft w:val="0"/>
      <w:marRight w:val="0"/>
      <w:marTop w:val="0"/>
      <w:marBottom w:val="0"/>
      <w:divBdr>
        <w:top w:val="none" w:sz="0" w:space="0" w:color="auto"/>
        <w:left w:val="none" w:sz="0" w:space="0" w:color="auto"/>
        <w:bottom w:val="none" w:sz="0" w:space="0" w:color="auto"/>
        <w:right w:val="none" w:sz="0" w:space="0" w:color="auto"/>
      </w:divBdr>
    </w:div>
    <w:div w:id="289284712">
      <w:bodyDiv w:val="1"/>
      <w:marLeft w:val="0"/>
      <w:marRight w:val="0"/>
      <w:marTop w:val="0"/>
      <w:marBottom w:val="0"/>
      <w:divBdr>
        <w:top w:val="none" w:sz="0" w:space="0" w:color="auto"/>
        <w:left w:val="none" w:sz="0" w:space="0" w:color="auto"/>
        <w:bottom w:val="none" w:sz="0" w:space="0" w:color="auto"/>
        <w:right w:val="none" w:sz="0" w:space="0" w:color="auto"/>
      </w:divBdr>
    </w:div>
    <w:div w:id="314652583">
      <w:bodyDiv w:val="1"/>
      <w:marLeft w:val="0"/>
      <w:marRight w:val="0"/>
      <w:marTop w:val="0"/>
      <w:marBottom w:val="0"/>
      <w:divBdr>
        <w:top w:val="none" w:sz="0" w:space="0" w:color="auto"/>
        <w:left w:val="none" w:sz="0" w:space="0" w:color="auto"/>
        <w:bottom w:val="none" w:sz="0" w:space="0" w:color="auto"/>
        <w:right w:val="none" w:sz="0" w:space="0" w:color="auto"/>
      </w:divBdr>
    </w:div>
    <w:div w:id="326444896">
      <w:bodyDiv w:val="1"/>
      <w:marLeft w:val="0"/>
      <w:marRight w:val="0"/>
      <w:marTop w:val="0"/>
      <w:marBottom w:val="0"/>
      <w:divBdr>
        <w:top w:val="none" w:sz="0" w:space="0" w:color="auto"/>
        <w:left w:val="none" w:sz="0" w:space="0" w:color="auto"/>
        <w:bottom w:val="none" w:sz="0" w:space="0" w:color="auto"/>
        <w:right w:val="none" w:sz="0" w:space="0" w:color="auto"/>
      </w:divBdr>
    </w:div>
    <w:div w:id="343558271">
      <w:bodyDiv w:val="1"/>
      <w:marLeft w:val="0"/>
      <w:marRight w:val="0"/>
      <w:marTop w:val="0"/>
      <w:marBottom w:val="0"/>
      <w:divBdr>
        <w:top w:val="none" w:sz="0" w:space="0" w:color="auto"/>
        <w:left w:val="none" w:sz="0" w:space="0" w:color="auto"/>
        <w:bottom w:val="none" w:sz="0" w:space="0" w:color="auto"/>
        <w:right w:val="none" w:sz="0" w:space="0" w:color="auto"/>
      </w:divBdr>
    </w:div>
    <w:div w:id="350566660">
      <w:bodyDiv w:val="1"/>
      <w:marLeft w:val="0"/>
      <w:marRight w:val="0"/>
      <w:marTop w:val="0"/>
      <w:marBottom w:val="0"/>
      <w:divBdr>
        <w:top w:val="none" w:sz="0" w:space="0" w:color="auto"/>
        <w:left w:val="none" w:sz="0" w:space="0" w:color="auto"/>
        <w:bottom w:val="none" w:sz="0" w:space="0" w:color="auto"/>
        <w:right w:val="none" w:sz="0" w:space="0" w:color="auto"/>
      </w:divBdr>
    </w:div>
    <w:div w:id="431626770">
      <w:bodyDiv w:val="1"/>
      <w:marLeft w:val="0"/>
      <w:marRight w:val="0"/>
      <w:marTop w:val="0"/>
      <w:marBottom w:val="0"/>
      <w:divBdr>
        <w:top w:val="none" w:sz="0" w:space="0" w:color="auto"/>
        <w:left w:val="none" w:sz="0" w:space="0" w:color="auto"/>
        <w:bottom w:val="none" w:sz="0" w:space="0" w:color="auto"/>
        <w:right w:val="none" w:sz="0" w:space="0" w:color="auto"/>
      </w:divBdr>
      <w:divsChild>
        <w:div w:id="1216509931">
          <w:marLeft w:val="0"/>
          <w:marRight w:val="0"/>
          <w:marTop w:val="0"/>
          <w:marBottom w:val="0"/>
          <w:divBdr>
            <w:top w:val="none" w:sz="0" w:space="0" w:color="auto"/>
            <w:left w:val="none" w:sz="0" w:space="0" w:color="auto"/>
            <w:bottom w:val="none" w:sz="0" w:space="0" w:color="auto"/>
            <w:right w:val="none" w:sz="0" w:space="0" w:color="auto"/>
          </w:divBdr>
          <w:divsChild>
            <w:div w:id="1373336476">
              <w:marLeft w:val="0"/>
              <w:marRight w:val="0"/>
              <w:marTop w:val="0"/>
              <w:marBottom w:val="0"/>
              <w:divBdr>
                <w:top w:val="none" w:sz="0" w:space="0" w:color="auto"/>
                <w:left w:val="none" w:sz="0" w:space="0" w:color="auto"/>
                <w:bottom w:val="none" w:sz="0" w:space="0" w:color="auto"/>
                <w:right w:val="none" w:sz="0" w:space="0" w:color="auto"/>
              </w:divBdr>
              <w:divsChild>
                <w:div w:id="116905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46107">
      <w:bodyDiv w:val="1"/>
      <w:marLeft w:val="0"/>
      <w:marRight w:val="0"/>
      <w:marTop w:val="0"/>
      <w:marBottom w:val="0"/>
      <w:divBdr>
        <w:top w:val="none" w:sz="0" w:space="0" w:color="auto"/>
        <w:left w:val="none" w:sz="0" w:space="0" w:color="auto"/>
        <w:bottom w:val="none" w:sz="0" w:space="0" w:color="auto"/>
        <w:right w:val="none" w:sz="0" w:space="0" w:color="auto"/>
      </w:divBdr>
    </w:div>
    <w:div w:id="655260425">
      <w:bodyDiv w:val="1"/>
      <w:marLeft w:val="0"/>
      <w:marRight w:val="0"/>
      <w:marTop w:val="0"/>
      <w:marBottom w:val="0"/>
      <w:divBdr>
        <w:top w:val="none" w:sz="0" w:space="0" w:color="auto"/>
        <w:left w:val="none" w:sz="0" w:space="0" w:color="auto"/>
        <w:bottom w:val="none" w:sz="0" w:space="0" w:color="auto"/>
        <w:right w:val="none" w:sz="0" w:space="0" w:color="auto"/>
      </w:divBdr>
    </w:div>
    <w:div w:id="852765435">
      <w:bodyDiv w:val="1"/>
      <w:marLeft w:val="0"/>
      <w:marRight w:val="0"/>
      <w:marTop w:val="0"/>
      <w:marBottom w:val="0"/>
      <w:divBdr>
        <w:top w:val="none" w:sz="0" w:space="0" w:color="auto"/>
        <w:left w:val="none" w:sz="0" w:space="0" w:color="auto"/>
        <w:bottom w:val="none" w:sz="0" w:space="0" w:color="auto"/>
        <w:right w:val="none" w:sz="0" w:space="0" w:color="auto"/>
      </w:divBdr>
    </w:div>
    <w:div w:id="944070491">
      <w:bodyDiv w:val="1"/>
      <w:marLeft w:val="0"/>
      <w:marRight w:val="0"/>
      <w:marTop w:val="0"/>
      <w:marBottom w:val="0"/>
      <w:divBdr>
        <w:top w:val="none" w:sz="0" w:space="0" w:color="auto"/>
        <w:left w:val="none" w:sz="0" w:space="0" w:color="auto"/>
        <w:bottom w:val="none" w:sz="0" w:space="0" w:color="auto"/>
        <w:right w:val="none" w:sz="0" w:space="0" w:color="auto"/>
      </w:divBdr>
    </w:div>
    <w:div w:id="958683364">
      <w:bodyDiv w:val="1"/>
      <w:marLeft w:val="0"/>
      <w:marRight w:val="0"/>
      <w:marTop w:val="0"/>
      <w:marBottom w:val="0"/>
      <w:divBdr>
        <w:top w:val="none" w:sz="0" w:space="0" w:color="auto"/>
        <w:left w:val="none" w:sz="0" w:space="0" w:color="auto"/>
        <w:bottom w:val="none" w:sz="0" w:space="0" w:color="auto"/>
        <w:right w:val="none" w:sz="0" w:space="0" w:color="auto"/>
      </w:divBdr>
    </w:div>
    <w:div w:id="1000304721">
      <w:bodyDiv w:val="1"/>
      <w:marLeft w:val="0"/>
      <w:marRight w:val="0"/>
      <w:marTop w:val="0"/>
      <w:marBottom w:val="0"/>
      <w:divBdr>
        <w:top w:val="none" w:sz="0" w:space="0" w:color="auto"/>
        <w:left w:val="none" w:sz="0" w:space="0" w:color="auto"/>
        <w:bottom w:val="none" w:sz="0" w:space="0" w:color="auto"/>
        <w:right w:val="none" w:sz="0" w:space="0" w:color="auto"/>
      </w:divBdr>
    </w:div>
    <w:div w:id="1057166680">
      <w:bodyDiv w:val="1"/>
      <w:marLeft w:val="0"/>
      <w:marRight w:val="0"/>
      <w:marTop w:val="0"/>
      <w:marBottom w:val="0"/>
      <w:divBdr>
        <w:top w:val="none" w:sz="0" w:space="0" w:color="auto"/>
        <w:left w:val="none" w:sz="0" w:space="0" w:color="auto"/>
        <w:bottom w:val="none" w:sz="0" w:space="0" w:color="auto"/>
        <w:right w:val="none" w:sz="0" w:space="0" w:color="auto"/>
      </w:divBdr>
    </w:div>
    <w:div w:id="1076440241">
      <w:bodyDiv w:val="1"/>
      <w:marLeft w:val="0"/>
      <w:marRight w:val="0"/>
      <w:marTop w:val="0"/>
      <w:marBottom w:val="0"/>
      <w:divBdr>
        <w:top w:val="none" w:sz="0" w:space="0" w:color="auto"/>
        <w:left w:val="none" w:sz="0" w:space="0" w:color="auto"/>
        <w:bottom w:val="none" w:sz="0" w:space="0" w:color="auto"/>
        <w:right w:val="none" w:sz="0" w:space="0" w:color="auto"/>
      </w:divBdr>
    </w:div>
    <w:div w:id="1138454180">
      <w:bodyDiv w:val="1"/>
      <w:marLeft w:val="0"/>
      <w:marRight w:val="0"/>
      <w:marTop w:val="0"/>
      <w:marBottom w:val="0"/>
      <w:divBdr>
        <w:top w:val="none" w:sz="0" w:space="0" w:color="auto"/>
        <w:left w:val="none" w:sz="0" w:space="0" w:color="auto"/>
        <w:bottom w:val="none" w:sz="0" w:space="0" w:color="auto"/>
        <w:right w:val="none" w:sz="0" w:space="0" w:color="auto"/>
      </w:divBdr>
    </w:div>
    <w:div w:id="1374844182">
      <w:bodyDiv w:val="1"/>
      <w:marLeft w:val="0"/>
      <w:marRight w:val="0"/>
      <w:marTop w:val="0"/>
      <w:marBottom w:val="0"/>
      <w:divBdr>
        <w:top w:val="none" w:sz="0" w:space="0" w:color="auto"/>
        <w:left w:val="none" w:sz="0" w:space="0" w:color="auto"/>
        <w:bottom w:val="none" w:sz="0" w:space="0" w:color="auto"/>
        <w:right w:val="none" w:sz="0" w:space="0" w:color="auto"/>
      </w:divBdr>
    </w:div>
    <w:div w:id="1476488193">
      <w:bodyDiv w:val="1"/>
      <w:marLeft w:val="0"/>
      <w:marRight w:val="0"/>
      <w:marTop w:val="0"/>
      <w:marBottom w:val="0"/>
      <w:divBdr>
        <w:top w:val="none" w:sz="0" w:space="0" w:color="auto"/>
        <w:left w:val="none" w:sz="0" w:space="0" w:color="auto"/>
        <w:bottom w:val="none" w:sz="0" w:space="0" w:color="auto"/>
        <w:right w:val="none" w:sz="0" w:space="0" w:color="auto"/>
      </w:divBdr>
    </w:div>
    <w:div w:id="1500198425">
      <w:bodyDiv w:val="1"/>
      <w:marLeft w:val="0"/>
      <w:marRight w:val="0"/>
      <w:marTop w:val="0"/>
      <w:marBottom w:val="0"/>
      <w:divBdr>
        <w:top w:val="none" w:sz="0" w:space="0" w:color="auto"/>
        <w:left w:val="none" w:sz="0" w:space="0" w:color="auto"/>
        <w:bottom w:val="none" w:sz="0" w:space="0" w:color="auto"/>
        <w:right w:val="none" w:sz="0" w:space="0" w:color="auto"/>
      </w:divBdr>
    </w:div>
    <w:div w:id="1507018533">
      <w:bodyDiv w:val="1"/>
      <w:marLeft w:val="0"/>
      <w:marRight w:val="0"/>
      <w:marTop w:val="0"/>
      <w:marBottom w:val="0"/>
      <w:divBdr>
        <w:top w:val="none" w:sz="0" w:space="0" w:color="auto"/>
        <w:left w:val="none" w:sz="0" w:space="0" w:color="auto"/>
        <w:bottom w:val="none" w:sz="0" w:space="0" w:color="auto"/>
        <w:right w:val="none" w:sz="0" w:space="0" w:color="auto"/>
      </w:divBdr>
    </w:div>
    <w:div w:id="1511721328">
      <w:bodyDiv w:val="1"/>
      <w:marLeft w:val="0"/>
      <w:marRight w:val="0"/>
      <w:marTop w:val="0"/>
      <w:marBottom w:val="0"/>
      <w:divBdr>
        <w:top w:val="none" w:sz="0" w:space="0" w:color="auto"/>
        <w:left w:val="none" w:sz="0" w:space="0" w:color="auto"/>
        <w:bottom w:val="none" w:sz="0" w:space="0" w:color="auto"/>
        <w:right w:val="none" w:sz="0" w:space="0" w:color="auto"/>
      </w:divBdr>
    </w:div>
    <w:div w:id="1513455328">
      <w:bodyDiv w:val="1"/>
      <w:marLeft w:val="0"/>
      <w:marRight w:val="0"/>
      <w:marTop w:val="0"/>
      <w:marBottom w:val="0"/>
      <w:divBdr>
        <w:top w:val="none" w:sz="0" w:space="0" w:color="auto"/>
        <w:left w:val="none" w:sz="0" w:space="0" w:color="auto"/>
        <w:bottom w:val="none" w:sz="0" w:space="0" w:color="auto"/>
        <w:right w:val="none" w:sz="0" w:space="0" w:color="auto"/>
      </w:divBdr>
      <w:divsChild>
        <w:div w:id="1399982703">
          <w:marLeft w:val="446"/>
          <w:marRight w:val="0"/>
          <w:marTop w:val="240"/>
          <w:marBottom w:val="0"/>
          <w:divBdr>
            <w:top w:val="none" w:sz="0" w:space="0" w:color="auto"/>
            <w:left w:val="none" w:sz="0" w:space="0" w:color="auto"/>
            <w:bottom w:val="none" w:sz="0" w:space="0" w:color="auto"/>
            <w:right w:val="none" w:sz="0" w:space="0" w:color="auto"/>
          </w:divBdr>
        </w:div>
      </w:divsChild>
    </w:div>
    <w:div w:id="1527015187">
      <w:bodyDiv w:val="1"/>
      <w:marLeft w:val="0"/>
      <w:marRight w:val="0"/>
      <w:marTop w:val="0"/>
      <w:marBottom w:val="0"/>
      <w:divBdr>
        <w:top w:val="none" w:sz="0" w:space="0" w:color="auto"/>
        <w:left w:val="none" w:sz="0" w:space="0" w:color="auto"/>
        <w:bottom w:val="none" w:sz="0" w:space="0" w:color="auto"/>
        <w:right w:val="none" w:sz="0" w:space="0" w:color="auto"/>
      </w:divBdr>
    </w:div>
    <w:div w:id="1527132714">
      <w:bodyDiv w:val="1"/>
      <w:marLeft w:val="0"/>
      <w:marRight w:val="0"/>
      <w:marTop w:val="0"/>
      <w:marBottom w:val="0"/>
      <w:divBdr>
        <w:top w:val="none" w:sz="0" w:space="0" w:color="auto"/>
        <w:left w:val="none" w:sz="0" w:space="0" w:color="auto"/>
        <w:bottom w:val="none" w:sz="0" w:space="0" w:color="auto"/>
        <w:right w:val="none" w:sz="0" w:space="0" w:color="auto"/>
      </w:divBdr>
    </w:div>
    <w:div w:id="1639455733">
      <w:bodyDiv w:val="1"/>
      <w:marLeft w:val="0"/>
      <w:marRight w:val="0"/>
      <w:marTop w:val="0"/>
      <w:marBottom w:val="0"/>
      <w:divBdr>
        <w:top w:val="none" w:sz="0" w:space="0" w:color="auto"/>
        <w:left w:val="none" w:sz="0" w:space="0" w:color="auto"/>
        <w:bottom w:val="none" w:sz="0" w:space="0" w:color="auto"/>
        <w:right w:val="none" w:sz="0" w:space="0" w:color="auto"/>
      </w:divBdr>
    </w:div>
    <w:div w:id="1766531110">
      <w:bodyDiv w:val="1"/>
      <w:marLeft w:val="0"/>
      <w:marRight w:val="0"/>
      <w:marTop w:val="0"/>
      <w:marBottom w:val="0"/>
      <w:divBdr>
        <w:top w:val="none" w:sz="0" w:space="0" w:color="auto"/>
        <w:left w:val="none" w:sz="0" w:space="0" w:color="auto"/>
        <w:bottom w:val="none" w:sz="0" w:space="0" w:color="auto"/>
        <w:right w:val="none" w:sz="0" w:space="0" w:color="auto"/>
      </w:divBdr>
    </w:div>
    <w:div w:id="1825465678">
      <w:bodyDiv w:val="1"/>
      <w:marLeft w:val="0"/>
      <w:marRight w:val="0"/>
      <w:marTop w:val="0"/>
      <w:marBottom w:val="0"/>
      <w:divBdr>
        <w:top w:val="none" w:sz="0" w:space="0" w:color="auto"/>
        <w:left w:val="none" w:sz="0" w:space="0" w:color="auto"/>
        <w:bottom w:val="none" w:sz="0" w:space="0" w:color="auto"/>
        <w:right w:val="none" w:sz="0" w:space="0" w:color="auto"/>
      </w:divBdr>
    </w:div>
    <w:div w:id="1864897678">
      <w:bodyDiv w:val="1"/>
      <w:marLeft w:val="0"/>
      <w:marRight w:val="0"/>
      <w:marTop w:val="0"/>
      <w:marBottom w:val="0"/>
      <w:divBdr>
        <w:top w:val="none" w:sz="0" w:space="0" w:color="auto"/>
        <w:left w:val="none" w:sz="0" w:space="0" w:color="auto"/>
        <w:bottom w:val="none" w:sz="0" w:space="0" w:color="auto"/>
        <w:right w:val="none" w:sz="0" w:space="0" w:color="auto"/>
      </w:divBdr>
    </w:div>
    <w:div w:id="1875148089">
      <w:bodyDiv w:val="1"/>
      <w:marLeft w:val="0"/>
      <w:marRight w:val="0"/>
      <w:marTop w:val="0"/>
      <w:marBottom w:val="0"/>
      <w:divBdr>
        <w:top w:val="none" w:sz="0" w:space="0" w:color="auto"/>
        <w:left w:val="none" w:sz="0" w:space="0" w:color="auto"/>
        <w:bottom w:val="none" w:sz="0" w:space="0" w:color="auto"/>
        <w:right w:val="none" w:sz="0" w:space="0" w:color="auto"/>
      </w:divBdr>
    </w:div>
    <w:div w:id="1954090329">
      <w:bodyDiv w:val="1"/>
      <w:marLeft w:val="0"/>
      <w:marRight w:val="0"/>
      <w:marTop w:val="0"/>
      <w:marBottom w:val="0"/>
      <w:divBdr>
        <w:top w:val="none" w:sz="0" w:space="0" w:color="auto"/>
        <w:left w:val="none" w:sz="0" w:space="0" w:color="auto"/>
        <w:bottom w:val="none" w:sz="0" w:space="0" w:color="auto"/>
        <w:right w:val="none" w:sz="0" w:space="0" w:color="auto"/>
      </w:divBdr>
    </w:div>
    <w:div w:id="1955476700">
      <w:bodyDiv w:val="1"/>
      <w:marLeft w:val="0"/>
      <w:marRight w:val="0"/>
      <w:marTop w:val="0"/>
      <w:marBottom w:val="0"/>
      <w:divBdr>
        <w:top w:val="none" w:sz="0" w:space="0" w:color="auto"/>
        <w:left w:val="none" w:sz="0" w:space="0" w:color="auto"/>
        <w:bottom w:val="none" w:sz="0" w:space="0" w:color="auto"/>
        <w:right w:val="none" w:sz="0" w:space="0" w:color="auto"/>
      </w:divBdr>
    </w:div>
    <w:div w:id="2110272464">
      <w:bodyDiv w:val="1"/>
      <w:marLeft w:val="0"/>
      <w:marRight w:val="0"/>
      <w:marTop w:val="0"/>
      <w:marBottom w:val="0"/>
      <w:divBdr>
        <w:top w:val="none" w:sz="0" w:space="0" w:color="auto"/>
        <w:left w:val="none" w:sz="0" w:space="0" w:color="auto"/>
        <w:bottom w:val="none" w:sz="0" w:space="0" w:color="auto"/>
        <w:right w:val="none" w:sz="0" w:space="0" w:color="auto"/>
      </w:divBdr>
    </w:div>
    <w:div w:id="212291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mma.sexton@ihcua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hmad.ibrahim@ihcuae.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runswick Brand">
  <a:themeElements>
    <a:clrScheme name="Custom 3">
      <a:dk1>
        <a:srgbClr val="001432"/>
      </a:dk1>
      <a:lt1>
        <a:srgbClr val="FFFFFF"/>
      </a:lt1>
      <a:dk2>
        <a:srgbClr val="85827B"/>
      </a:dk2>
      <a:lt2>
        <a:srgbClr val="7A0050"/>
      </a:lt2>
      <a:accent1>
        <a:srgbClr val="7962CE"/>
      </a:accent1>
      <a:accent2>
        <a:srgbClr val="1ED7D7"/>
      </a:accent2>
      <a:accent3>
        <a:srgbClr val="90A7B2"/>
      </a:accent3>
      <a:accent4>
        <a:srgbClr val="007878"/>
      </a:accent4>
      <a:accent5>
        <a:srgbClr val="FF4E38"/>
      </a:accent5>
      <a:accent6>
        <a:srgbClr val="FFB200"/>
      </a:accent6>
      <a:hlink>
        <a:srgbClr val="90A7B2"/>
      </a:hlink>
      <a:folHlink>
        <a:srgbClr val="1ED7D7"/>
      </a:folHlink>
    </a:clrScheme>
    <a:fontScheme name="Custom 4">
      <a:majorFont>
        <a:latin typeface="Segoe UI Semibold"/>
        <a:ea typeface=""/>
        <a:cs typeface=""/>
      </a:majorFont>
      <a:minorFont>
        <a:latin typeface="Segoe U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sz="2000"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Brunswick Brand" id="{C20D8C73-F153-414C-AA57-0EAA793313A7}" vid="{1619BC81-0DAB-40F2-BDB7-D6D8D31925C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292E835B-8824-490E-ACE4-A1BF1E417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Dominic Whiting</dc:creator>
  <cp:lastModifiedBy>Ahmad Ibrahim</cp:lastModifiedBy>
  <cp:revision>5</cp:revision>
  <cp:lastPrinted>2022-08-08T14:18:00Z</cp:lastPrinted>
  <dcterms:created xsi:type="dcterms:W3CDTF">2022-08-08T14:18:00Z</dcterms:created>
  <dcterms:modified xsi:type="dcterms:W3CDTF">2022-08-08T14:21:00Z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1da0be8-9b43-41b6-9549-69b8e68dc6f8_Enabled">
    <vt:lpwstr>true</vt:lpwstr>
  </property>
  <property fmtid="{D5CDD505-2E9C-101B-9397-08002B2CF9AE}" pid="3" name="MSIP_Label_e1da0be8-9b43-41b6-9549-69b8e68dc6f8_SetDate">
    <vt:lpwstr>2022-08-08T05:24:47Z</vt:lpwstr>
  </property>
  <property fmtid="{D5CDD505-2E9C-101B-9397-08002B2CF9AE}" pid="4" name="MSIP_Label_e1da0be8-9b43-41b6-9549-69b8e68dc6f8_Method">
    <vt:lpwstr>Standard</vt:lpwstr>
  </property>
  <property fmtid="{D5CDD505-2E9C-101B-9397-08002B2CF9AE}" pid="5" name="MSIP_Label_e1da0be8-9b43-41b6-9549-69b8e68dc6f8_Name">
    <vt:lpwstr>Public</vt:lpwstr>
  </property>
  <property fmtid="{D5CDD505-2E9C-101B-9397-08002B2CF9AE}" pid="6" name="MSIP_Label_e1da0be8-9b43-41b6-9549-69b8e68dc6f8_SiteId">
    <vt:lpwstr>266f8c24-cc05-41b8-b635-ffaf4ee49853</vt:lpwstr>
  </property>
  <property fmtid="{D5CDD505-2E9C-101B-9397-08002B2CF9AE}" pid="7" name="MSIP_Label_e1da0be8-9b43-41b6-9549-69b8e68dc6f8_ActionId">
    <vt:lpwstr>05e2a490-3105-4607-8173-17ce26e84e38</vt:lpwstr>
  </property>
  <property fmtid="{D5CDD505-2E9C-101B-9397-08002B2CF9AE}" pid="8" name="MSIP_Label_e1da0be8-9b43-41b6-9549-69b8e68dc6f8_ContentBits">
    <vt:lpwstr>0</vt:lpwstr>
  </property>
</Properties>
</file>