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BA53" w14:textId="77777777" w:rsidR="00E92375" w:rsidRPr="00F813AD" w:rsidRDefault="00E92375" w:rsidP="00156FF6">
      <w:pPr>
        <w:autoSpaceDE w:val="0"/>
        <w:autoSpaceDN w:val="0"/>
        <w:adjustRightInd w:val="0"/>
        <w:spacing w:after="0" w:line="276" w:lineRule="auto"/>
        <w:jc w:val="center"/>
        <w:rPr>
          <w:rFonts w:asciiTheme="majorHAnsi" w:hAnsiTheme="majorHAnsi" w:cstheme="majorHAnsi"/>
          <w:b/>
          <w:bCs/>
          <w:color w:val="001432" w:themeColor="text1"/>
          <w:sz w:val="52"/>
          <w:szCs w:val="52"/>
        </w:rPr>
      </w:pPr>
      <w:bookmarkStart w:id="0" w:name="_Hlk69165021"/>
    </w:p>
    <w:p w14:paraId="5B997FA0" w14:textId="5AAA83EE" w:rsidR="002027E4" w:rsidRPr="00F813AD" w:rsidRDefault="00BA47D6" w:rsidP="003B6F6C">
      <w:pPr>
        <w:spacing w:after="0" w:line="276" w:lineRule="auto"/>
        <w:jc w:val="center"/>
        <w:rPr>
          <w:rFonts w:asciiTheme="majorHAnsi" w:hAnsiTheme="majorHAnsi" w:cstheme="majorHAnsi"/>
          <w:b/>
          <w:bCs/>
          <w:sz w:val="28"/>
          <w:szCs w:val="28"/>
        </w:rPr>
      </w:pPr>
      <w:bookmarkStart w:id="1" w:name="_Hlk107416273"/>
      <w:r w:rsidRPr="00F813AD">
        <w:rPr>
          <w:rFonts w:asciiTheme="majorHAnsi" w:hAnsiTheme="majorHAnsi" w:cstheme="majorHAnsi"/>
          <w:b/>
          <w:bCs/>
          <w:sz w:val="28"/>
          <w:szCs w:val="28"/>
        </w:rPr>
        <w:t>IHC</w:t>
      </w:r>
      <w:r w:rsidR="002027E4" w:rsidRPr="00F813AD">
        <w:rPr>
          <w:rFonts w:asciiTheme="majorHAnsi" w:hAnsiTheme="majorHAnsi" w:cstheme="majorHAnsi"/>
          <w:b/>
          <w:bCs/>
          <w:sz w:val="28"/>
          <w:szCs w:val="28"/>
        </w:rPr>
        <w:t xml:space="preserve"> </w:t>
      </w:r>
      <w:bookmarkEnd w:id="1"/>
      <w:r w:rsidRPr="00F813AD">
        <w:rPr>
          <w:rFonts w:asciiTheme="majorHAnsi" w:hAnsiTheme="majorHAnsi" w:cstheme="majorHAnsi"/>
          <w:b/>
          <w:bCs/>
          <w:sz w:val="28"/>
          <w:szCs w:val="28"/>
        </w:rPr>
        <w:t xml:space="preserve">Sail </w:t>
      </w:r>
      <w:proofErr w:type="gramStart"/>
      <w:r w:rsidRPr="00F813AD">
        <w:rPr>
          <w:rFonts w:asciiTheme="majorHAnsi" w:hAnsiTheme="majorHAnsi" w:cstheme="majorHAnsi"/>
          <w:b/>
          <w:bCs/>
          <w:sz w:val="28"/>
          <w:szCs w:val="28"/>
        </w:rPr>
        <w:t>Into</w:t>
      </w:r>
      <w:proofErr w:type="gramEnd"/>
      <w:r w:rsidR="003B6F6C" w:rsidRPr="00F813AD">
        <w:rPr>
          <w:rFonts w:asciiTheme="majorHAnsi" w:hAnsiTheme="majorHAnsi" w:cstheme="majorHAnsi"/>
          <w:b/>
          <w:bCs/>
          <w:sz w:val="28"/>
          <w:szCs w:val="28"/>
        </w:rPr>
        <w:t xml:space="preserve"> Turkish Market and </w:t>
      </w:r>
      <w:r w:rsidR="002027E4" w:rsidRPr="00F813AD">
        <w:rPr>
          <w:rFonts w:asciiTheme="majorHAnsi" w:hAnsiTheme="majorHAnsi" w:cstheme="majorHAnsi"/>
          <w:b/>
          <w:bCs/>
          <w:sz w:val="28"/>
          <w:szCs w:val="28"/>
        </w:rPr>
        <w:t>Acquires 50% of Renewable Energy Company</w:t>
      </w:r>
      <w:r w:rsidR="003B6F6C" w:rsidRPr="00F813AD">
        <w:rPr>
          <w:rFonts w:asciiTheme="majorHAnsi" w:hAnsiTheme="majorHAnsi" w:cstheme="majorHAnsi"/>
          <w:b/>
          <w:bCs/>
          <w:sz w:val="28"/>
          <w:szCs w:val="28"/>
        </w:rPr>
        <w:t xml:space="preserve"> “</w:t>
      </w:r>
      <w:proofErr w:type="spellStart"/>
      <w:r w:rsidR="002027E4" w:rsidRPr="00F813AD">
        <w:rPr>
          <w:rFonts w:asciiTheme="majorHAnsi" w:hAnsiTheme="majorHAnsi" w:cstheme="majorHAnsi"/>
          <w:b/>
          <w:bCs/>
          <w:sz w:val="28"/>
          <w:szCs w:val="28"/>
        </w:rPr>
        <w:t>Kalyon</w:t>
      </w:r>
      <w:proofErr w:type="spellEnd"/>
      <w:r w:rsidR="002027E4" w:rsidRPr="00F813AD">
        <w:rPr>
          <w:rFonts w:asciiTheme="majorHAnsi" w:hAnsiTheme="majorHAnsi" w:cstheme="majorHAnsi"/>
          <w:b/>
          <w:bCs/>
          <w:sz w:val="28"/>
          <w:szCs w:val="28"/>
        </w:rPr>
        <w:t xml:space="preserve"> </w:t>
      </w:r>
      <w:proofErr w:type="spellStart"/>
      <w:r w:rsidR="002027E4" w:rsidRPr="00F813AD">
        <w:rPr>
          <w:rFonts w:asciiTheme="majorHAnsi" w:hAnsiTheme="majorHAnsi" w:cstheme="majorHAnsi"/>
          <w:b/>
          <w:bCs/>
          <w:sz w:val="28"/>
          <w:szCs w:val="28"/>
        </w:rPr>
        <w:t>Enerji</w:t>
      </w:r>
      <w:proofErr w:type="spellEnd"/>
      <w:r w:rsidR="003B6F6C" w:rsidRPr="00F813AD">
        <w:rPr>
          <w:rFonts w:asciiTheme="majorHAnsi" w:hAnsiTheme="majorHAnsi" w:cstheme="majorHAnsi"/>
          <w:b/>
          <w:bCs/>
          <w:sz w:val="28"/>
          <w:szCs w:val="28"/>
        </w:rPr>
        <w:t>”</w:t>
      </w:r>
      <w:r w:rsidR="002027E4" w:rsidRPr="00F813AD">
        <w:rPr>
          <w:rFonts w:asciiTheme="majorHAnsi" w:hAnsiTheme="majorHAnsi" w:cstheme="majorHAnsi"/>
          <w:b/>
          <w:bCs/>
          <w:sz w:val="28"/>
          <w:szCs w:val="28"/>
        </w:rPr>
        <w:t xml:space="preserve"> in </w:t>
      </w:r>
      <w:bookmarkStart w:id="2" w:name="_Hlk107418900"/>
      <w:r w:rsidR="002027E4" w:rsidRPr="00F813AD">
        <w:rPr>
          <w:rFonts w:asciiTheme="majorHAnsi" w:hAnsiTheme="majorHAnsi" w:cstheme="majorHAnsi"/>
          <w:b/>
          <w:bCs/>
          <w:sz w:val="28"/>
          <w:szCs w:val="28"/>
        </w:rPr>
        <w:t xml:space="preserve">AED </w:t>
      </w:r>
      <w:r w:rsidR="00861941">
        <w:rPr>
          <w:rFonts w:asciiTheme="majorHAnsi" w:hAnsiTheme="majorHAnsi" w:cstheme="majorHAnsi"/>
          <w:b/>
          <w:bCs/>
          <w:sz w:val="28"/>
          <w:szCs w:val="28"/>
        </w:rPr>
        <w:t>1</w:t>
      </w:r>
      <w:r w:rsidR="002027E4" w:rsidRPr="00F813AD">
        <w:rPr>
          <w:rFonts w:asciiTheme="majorHAnsi" w:hAnsiTheme="majorHAnsi" w:cstheme="majorHAnsi"/>
          <w:b/>
          <w:bCs/>
          <w:sz w:val="28"/>
          <w:szCs w:val="28"/>
        </w:rPr>
        <w:t>.</w:t>
      </w:r>
      <w:r w:rsidR="00861941">
        <w:rPr>
          <w:rFonts w:asciiTheme="majorHAnsi" w:hAnsiTheme="majorHAnsi" w:cstheme="majorHAnsi"/>
          <w:b/>
          <w:bCs/>
          <w:sz w:val="28"/>
          <w:szCs w:val="28"/>
        </w:rPr>
        <w:t>8</w:t>
      </w:r>
      <w:r w:rsidR="002027E4" w:rsidRPr="00F813AD">
        <w:rPr>
          <w:rFonts w:asciiTheme="majorHAnsi" w:hAnsiTheme="majorHAnsi" w:cstheme="majorHAnsi"/>
          <w:b/>
          <w:bCs/>
          <w:sz w:val="28"/>
          <w:szCs w:val="28"/>
        </w:rPr>
        <w:t xml:space="preserve"> billion </w:t>
      </w:r>
      <w:bookmarkEnd w:id="2"/>
      <w:r w:rsidR="002027E4" w:rsidRPr="00F813AD">
        <w:rPr>
          <w:rFonts w:asciiTheme="majorHAnsi" w:hAnsiTheme="majorHAnsi" w:cstheme="majorHAnsi"/>
          <w:b/>
          <w:bCs/>
          <w:sz w:val="28"/>
          <w:szCs w:val="28"/>
        </w:rPr>
        <w:t xml:space="preserve">Transaction </w:t>
      </w:r>
    </w:p>
    <w:p w14:paraId="2AC1F7F1" w14:textId="77777777" w:rsidR="002027E4" w:rsidRPr="00F813AD" w:rsidRDefault="002027E4" w:rsidP="002027E4">
      <w:pPr>
        <w:spacing w:line="276" w:lineRule="auto"/>
        <w:rPr>
          <w:rFonts w:cstheme="minorHAnsi"/>
          <w:b/>
          <w:bCs/>
          <w:sz w:val="24"/>
          <w:szCs w:val="24"/>
        </w:rPr>
      </w:pPr>
    </w:p>
    <w:p w14:paraId="6E5191B8" w14:textId="1F3AB129" w:rsidR="002027E4" w:rsidRPr="00F813AD" w:rsidRDefault="002027E4" w:rsidP="002027E4">
      <w:pPr>
        <w:numPr>
          <w:ilvl w:val="0"/>
          <w:numId w:val="7"/>
        </w:numPr>
        <w:spacing w:after="0" w:line="276" w:lineRule="auto"/>
        <w:rPr>
          <w:rFonts w:eastAsia="Times New Roman" w:cstheme="minorHAnsi"/>
          <w:b/>
          <w:bCs/>
          <w:color w:val="0E101A"/>
          <w:sz w:val="24"/>
          <w:szCs w:val="24"/>
        </w:rPr>
      </w:pPr>
      <w:r w:rsidRPr="00F813AD">
        <w:rPr>
          <w:rFonts w:eastAsia="Times New Roman" w:cstheme="minorHAnsi"/>
          <w:b/>
          <w:bCs/>
          <w:color w:val="0E101A"/>
          <w:sz w:val="24"/>
          <w:szCs w:val="24"/>
        </w:rPr>
        <w:t xml:space="preserve">The deal comes as part of </w:t>
      </w:r>
      <w:r w:rsidR="003B6F6C" w:rsidRPr="00F813AD">
        <w:rPr>
          <w:rFonts w:eastAsia="Times New Roman" w:cstheme="minorHAnsi"/>
          <w:b/>
          <w:bCs/>
          <w:color w:val="0E101A"/>
          <w:sz w:val="24"/>
          <w:szCs w:val="24"/>
        </w:rPr>
        <w:t>IHC’s</w:t>
      </w:r>
      <w:r w:rsidRPr="00F813AD">
        <w:rPr>
          <w:rFonts w:eastAsia="Times New Roman" w:cstheme="minorHAnsi"/>
          <w:b/>
          <w:bCs/>
          <w:color w:val="0E101A"/>
          <w:sz w:val="24"/>
          <w:szCs w:val="24"/>
        </w:rPr>
        <w:t xml:space="preserve"> long-term investment strategy in the clean energy sector. </w:t>
      </w:r>
    </w:p>
    <w:p w14:paraId="26443D00" w14:textId="0132E06D" w:rsidR="003B6F6C" w:rsidRPr="00F813AD" w:rsidRDefault="003B6F6C" w:rsidP="003B6F6C">
      <w:pPr>
        <w:pStyle w:val="ListParagraph"/>
        <w:numPr>
          <w:ilvl w:val="0"/>
          <w:numId w:val="7"/>
        </w:numPr>
        <w:spacing w:after="0"/>
        <w:rPr>
          <w:rFonts w:eastAsia="Times New Roman" w:cstheme="minorHAnsi"/>
          <w:b/>
          <w:bCs/>
          <w:sz w:val="24"/>
          <w:szCs w:val="24"/>
          <w:lang w:val="en-AE"/>
        </w:rPr>
      </w:pPr>
      <w:r w:rsidRPr="00F813AD">
        <w:rPr>
          <w:rFonts w:eastAsia="Times New Roman" w:cstheme="minorHAnsi"/>
          <w:b/>
          <w:bCs/>
          <w:sz w:val="24"/>
          <w:szCs w:val="24"/>
          <w:lang w:val="en-AE"/>
        </w:rPr>
        <w:t>Kalyon Karapınar Solar Power Plant established on approximately </w:t>
      </w:r>
      <w:r w:rsidRPr="00F813AD">
        <w:rPr>
          <w:rFonts w:eastAsia="Times New Roman" w:cstheme="minorHAnsi"/>
          <w:b/>
          <w:bCs/>
          <w:color w:val="0E101A"/>
          <w:sz w:val="24"/>
          <w:szCs w:val="24"/>
          <w:lang w:val="en-AE"/>
        </w:rPr>
        <w:t>20 million square meters</w:t>
      </w:r>
      <w:r w:rsidRPr="00F813AD">
        <w:rPr>
          <w:rFonts w:eastAsia="Times New Roman" w:cstheme="minorHAnsi"/>
          <w:b/>
          <w:bCs/>
          <w:sz w:val="24"/>
          <w:szCs w:val="24"/>
          <w:lang w:val="en-AE"/>
        </w:rPr>
        <w:t> of land in Konya’s Karapınar district.</w:t>
      </w:r>
    </w:p>
    <w:p w14:paraId="015D1937" w14:textId="2D4387B3" w:rsidR="002027E4" w:rsidRPr="00F813AD" w:rsidRDefault="002027E4" w:rsidP="002027E4">
      <w:pPr>
        <w:pStyle w:val="ListParagraph"/>
        <w:numPr>
          <w:ilvl w:val="0"/>
          <w:numId w:val="7"/>
        </w:numPr>
        <w:spacing w:line="276" w:lineRule="auto"/>
        <w:rPr>
          <w:rFonts w:cstheme="minorHAnsi"/>
          <w:b/>
          <w:bCs/>
          <w:sz w:val="24"/>
          <w:szCs w:val="24"/>
        </w:rPr>
      </w:pPr>
      <w:r w:rsidRPr="00F813AD">
        <w:rPr>
          <w:rFonts w:cstheme="minorHAnsi"/>
          <w:b/>
          <w:bCs/>
          <w:sz w:val="24"/>
          <w:szCs w:val="24"/>
        </w:rPr>
        <w:t xml:space="preserve">This strategic partnership includes some other renewable projects in Turkey. </w:t>
      </w:r>
    </w:p>
    <w:p w14:paraId="6B9CFEE3" w14:textId="77777777" w:rsidR="002027E4" w:rsidRPr="00F813AD" w:rsidRDefault="002027E4" w:rsidP="002027E4">
      <w:pPr>
        <w:spacing w:after="0" w:line="276" w:lineRule="auto"/>
        <w:jc w:val="both"/>
        <w:rPr>
          <w:rFonts w:cstheme="minorHAnsi"/>
          <w:sz w:val="24"/>
          <w:szCs w:val="24"/>
        </w:rPr>
      </w:pPr>
    </w:p>
    <w:p w14:paraId="0A8D189E" w14:textId="3C589CAC" w:rsidR="00EE3F91" w:rsidRPr="00F813AD" w:rsidRDefault="002027E4" w:rsidP="00F813AD">
      <w:pPr>
        <w:pStyle w:val="NormalWeb"/>
        <w:spacing w:before="0" w:beforeAutospacing="0" w:after="0" w:afterAutospacing="0" w:line="276" w:lineRule="auto"/>
        <w:jc w:val="both"/>
        <w:rPr>
          <w:rFonts w:asciiTheme="minorHAnsi" w:eastAsia="Times New Roman" w:hAnsiTheme="minorHAnsi" w:cstheme="minorHAnsi"/>
          <w:color w:val="0E101A"/>
        </w:rPr>
      </w:pPr>
      <w:r w:rsidRPr="00F813AD">
        <w:rPr>
          <w:rFonts w:asciiTheme="minorHAnsi" w:hAnsiTheme="minorHAnsi" w:cstheme="minorHAnsi"/>
          <w:b/>
          <w:bCs/>
        </w:rPr>
        <w:t xml:space="preserve">Abu Dhabi, UAE; </w:t>
      </w:r>
      <w:r w:rsidR="003B6F6C" w:rsidRPr="00F813AD">
        <w:rPr>
          <w:rFonts w:asciiTheme="minorHAnsi" w:hAnsiTheme="minorHAnsi" w:cstheme="minorHAnsi"/>
          <w:b/>
          <w:bCs/>
        </w:rPr>
        <w:t>Aug</w:t>
      </w:r>
      <w:r w:rsidRPr="00F813AD">
        <w:rPr>
          <w:rFonts w:asciiTheme="minorHAnsi" w:hAnsiTheme="minorHAnsi" w:cstheme="minorHAnsi"/>
          <w:b/>
          <w:bCs/>
        </w:rPr>
        <w:t xml:space="preserve"> </w:t>
      </w:r>
      <w:r w:rsidR="003B6F6C" w:rsidRPr="00F813AD">
        <w:rPr>
          <w:rFonts w:asciiTheme="minorHAnsi" w:hAnsiTheme="minorHAnsi" w:cstheme="minorHAnsi"/>
          <w:b/>
          <w:bCs/>
        </w:rPr>
        <w:t>11</w:t>
      </w:r>
      <w:proofErr w:type="gramStart"/>
      <w:r w:rsidRPr="00F813AD">
        <w:rPr>
          <w:rFonts w:asciiTheme="minorHAnsi" w:hAnsiTheme="minorHAnsi" w:cstheme="minorHAnsi"/>
          <w:b/>
          <w:bCs/>
        </w:rPr>
        <w:t xml:space="preserve"> </w:t>
      </w:r>
      <w:r w:rsidRPr="00F813AD">
        <w:rPr>
          <w:rFonts w:asciiTheme="minorHAnsi" w:hAnsiTheme="minorHAnsi" w:cstheme="minorHAnsi"/>
          <w:b/>
          <w:bCs/>
          <w:rtl/>
        </w:rPr>
        <w:t>2022</w:t>
      </w:r>
      <w:proofErr w:type="gramEnd"/>
      <w:r w:rsidRPr="00F813AD">
        <w:rPr>
          <w:rFonts w:asciiTheme="minorHAnsi" w:hAnsiTheme="minorHAnsi" w:cstheme="minorHAnsi"/>
          <w:b/>
          <w:bCs/>
        </w:rPr>
        <w:t>:</w:t>
      </w:r>
      <w:r w:rsidRPr="00F813AD">
        <w:rPr>
          <w:rFonts w:asciiTheme="minorHAnsi" w:hAnsiTheme="minorHAnsi" w:cstheme="minorHAnsi"/>
        </w:rPr>
        <w:t xml:space="preserve"> </w:t>
      </w:r>
      <w:bookmarkStart w:id="3" w:name="_Hlk107416639"/>
      <w:r w:rsidR="00EE3F91" w:rsidRPr="00F813AD">
        <w:rPr>
          <w:rFonts w:asciiTheme="minorHAnsi" w:eastAsia="Times New Roman" w:hAnsiTheme="minorHAnsi" w:cstheme="minorHAnsi"/>
          <w:color w:val="000000"/>
          <w:lang w:val="en-AE"/>
        </w:rPr>
        <w:t xml:space="preserve">International Holding Company PJSC (ADX: IHC), </w:t>
      </w:r>
      <w:r w:rsidR="00EE3F91" w:rsidRPr="00F813AD">
        <w:rPr>
          <w:rFonts w:asciiTheme="minorHAnsi" w:eastAsia="Times New Roman" w:hAnsiTheme="minorHAnsi" w:cstheme="minorHAnsi"/>
          <w:color w:val="000000"/>
          <w:lang w:val="en-US"/>
        </w:rPr>
        <w:t>the</w:t>
      </w:r>
      <w:r w:rsidR="00EE3F91" w:rsidRPr="00F813AD">
        <w:rPr>
          <w:rFonts w:asciiTheme="minorHAnsi" w:eastAsia="Times New Roman" w:hAnsiTheme="minorHAnsi" w:cstheme="minorHAnsi"/>
          <w:color w:val="000000"/>
          <w:lang w:val="en-AE"/>
        </w:rPr>
        <w:t xml:space="preserve"> diversified Abu Dhabi-based conglomerate</w:t>
      </w:r>
      <w:r w:rsidR="00EE3F91" w:rsidRPr="00F813AD">
        <w:rPr>
          <w:rFonts w:asciiTheme="minorHAnsi" w:eastAsia="Times New Roman" w:hAnsiTheme="minorHAnsi" w:cstheme="minorHAnsi"/>
          <w:lang w:val="en-US"/>
        </w:rPr>
        <w:t>, has</w:t>
      </w:r>
      <w:bookmarkEnd w:id="3"/>
      <w:r w:rsidR="00EE3F91" w:rsidRPr="00F813AD">
        <w:rPr>
          <w:rFonts w:asciiTheme="minorHAnsi" w:hAnsiTheme="minorHAnsi" w:cstheme="minorHAnsi"/>
        </w:rPr>
        <w:t xml:space="preserve"> </w:t>
      </w:r>
      <w:r w:rsidRPr="00F813AD">
        <w:rPr>
          <w:rFonts w:asciiTheme="minorHAnsi" w:eastAsia="Times New Roman" w:hAnsiTheme="minorHAnsi" w:cstheme="minorHAnsi"/>
          <w:color w:val="0E101A"/>
        </w:rPr>
        <w:t xml:space="preserve">announced today the acquisition of a </w:t>
      </w:r>
      <w:r w:rsidRPr="00F813AD">
        <w:rPr>
          <w:rFonts w:asciiTheme="minorHAnsi" w:eastAsia="Times New Roman" w:hAnsiTheme="minorHAnsi" w:cstheme="minorHAnsi"/>
          <w:b/>
          <w:bCs/>
          <w:color w:val="0E101A"/>
        </w:rPr>
        <w:t>50% stake</w:t>
      </w:r>
      <w:r w:rsidRPr="00F813AD">
        <w:rPr>
          <w:rFonts w:asciiTheme="minorHAnsi" w:eastAsia="Times New Roman" w:hAnsiTheme="minorHAnsi" w:cstheme="minorHAnsi"/>
          <w:color w:val="0E101A"/>
        </w:rPr>
        <w:t> in Turkish clean energy market leader "</w:t>
      </w:r>
      <w:proofErr w:type="spellStart"/>
      <w:r w:rsidRPr="00F813AD">
        <w:rPr>
          <w:rFonts w:asciiTheme="minorHAnsi" w:eastAsia="Times New Roman" w:hAnsiTheme="minorHAnsi" w:cstheme="minorHAnsi"/>
          <w:color w:val="0E101A"/>
        </w:rPr>
        <w:t>Kalyon</w:t>
      </w:r>
      <w:proofErr w:type="spellEnd"/>
      <w:r w:rsidRPr="00F813AD">
        <w:rPr>
          <w:rFonts w:asciiTheme="minorHAnsi" w:eastAsia="Times New Roman" w:hAnsiTheme="minorHAnsi" w:cstheme="minorHAnsi"/>
          <w:color w:val="0E101A"/>
        </w:rPr>
        <w:t xml:space="preserve"> </w:t>
      </w:r>
      <w:proofErr w:type="spellStart"/>
      <w:r w:rsidRPr="00F813AD">
        <w:rPr>
          <w:rFonts w:asciiTheme="minorHAnsi" w:eastAsia="Times New Roman" w:hAnsiTheme="minorHAnsi" w:cstheme="minorHAnsi"/>
          <w:color w:val="0E101A"/>
        </w:rPr>
        <w:t>Enerji</w:t>
      </w:r>
      <w:proofErr w:type="spellEnd"/>
      <w:r w:rsidRPr="00F813AD">
        <w:rPr>
          <w:rFonts w:asciiTheme="minorHAnsi" w:eastAsia="Times New Roman" w:hAnsiTheme="minorHAnsi" w:cstheme="minorHAnsi"/>
          <w:color w:val="0E101A"/>
        </w:rPr>
        <w:t>" for </w:t>
      </w:r>
      <w:r w:rsidRPr="00F813AD">
        <w:rPr>
          <w:rFonts w:asciiTheme="minorHAnsi" w:eastAsia="Times New Roman" w:hAnsiTheme="minorHAnsi" w:cstheme="minorHAnsi"/>
          <w:b/>
          <w:bCs/>
          <w:color w:val="0E101A"/>
        </w:rPr>
        <w:t xml:space="preserve">AED </w:t>
      </w:r>
      <w:r w:rsidR="00861941">
        <w:rPr>
          <w:rFonts w:asciiTheme="minorHAnsi" w:eastAsia="Times New Roman" w:hAnsiTheme="minorHAnsi" w:cstheme="minorHAnsi"/>
          <w:b/>
          <w:bCs/>
          <w:color w:val="0E101A"/>
        </w:rPr>
        <w:t>1</w:t>
      </w:r>
      <w:r w:rsidRPr="00F813AD">
        <w:rPr>
          <w:rFonts w:asciiTheme="minorHAnsi" w:eastAsia="Times New Roman" w:hAnsiTheme="minorHAnsi" w:cstheme="minorHAnsi"/>
          <w:b/>
          <w:bCs/>
          <w:color w:val="0E101A"/>
        </w:rPr>
        <w:t>.</w:t>
      </w:r>
      <w:r w:rsidR="00861941">
        <w:rPr>
          <w:rFonts w:asciiTheme="minorHAnsi" w:eastAsia="Times New Roman" w:hAnsiTheme="minorHAnsi" w:cstheme="minorHAnsi"/>
          <w:b/>
          <w:bCs/>
          <w:color w:val="0E101A"/>
        </w:rPr>
        <w:t>8</w:t>
      </w:r>
      <w:r w:rsidRPr="00F813AD">
        <w:rPr>
          <w:rFonts w:asciiTheme="minorHAnsi" w:eastAsia="Times New Roman" w:hAnsiTheme="minorHAnsi" w:cstheme="minorHAnsi"/>
          <w:b/>
          <w:bCs/>
          <w:color w:val="0E101A"/>
        </w:rPr>
        <w:t xml:space="preserve"> billion </w:t>
      </w:r>
      <w:r w:rsidRPr="00F813AD">
        <w:rPr>
          <w:rFonts w:asciiTheme="minorHAnsi" w:eastAsia="Times New Roman" w:hAnsiTheme="minorHAnsi" w:cstheme="minorHAnsi"/>
          <w:color w:val="0E101A"/>
        </w:rPr>
        <w:t xml:space="preserve">through its subsidiary </w:t>
      </w:r>
      <w:r w:rsidR="00EE3F91" w:rsidRPr="00F813AD">
        <w:rPr>
          <w:rFonts w:asciiTheme="minorHAnsi" w:eastAsia="Times New Roman" w:hAnsiTheme="minorHAnsi" w:cstheme="minorHAnsi"/>
          <w:color w:val="000000"/>
          <w:lang w:val="en-AE"/>
        </w:rPr>
        <w:t xml:space="preserve">International </w:t>
      </w:r>
      <w:r w:rsidR="00861941" w:rsidRPr="00F813AD">
        <w:rPr>
          <w:rFonts w:asciiTheme="minorHAnsi" w:eastAsia="Times New Roman" w:hAnsiTheme="minorHAnsi" w:cstheme="minorHAnsi"/>
          <w:color w:val="0E101A"/>
        </w:rPr>
        <w:t>Energy</w:t>
      </w:r>
      <w:r w:rsidR="00861941" w:rsidRPr="00F813AD">
        <w:rPr>
          <w:rFonts w:asciiTheme="minorHAnsi" w:eastAsia="Times New Roman" w:hAnsiTheme="minorHAnsi" w:cstheme="minorHAnsi"/>
          <w:color w:val="000000"/>
          <w:lang w:val="en-AE"/>
        </w:rPr>
        <w:t xml:space="preserve"> </w:t>
      </w:r>
      <w:r w:rsidR="00EE3F91" w:rsidRPr="00F813AD">
        <w:rPr>
          <w:rFonts w:asciiTheme="minorHAnsi" w:eastAsia="Times New Roman" w:hAnsiTheme="minorHAnsi" w:cstheme="minorHAnsi"/>
          <w:color w:val="000000"/>
          <w:lang w:val="en-AE"/>
        </w:rPr>
        <w:t>Holding</w:t>
      </w:r>
      <w:r w:rsidR="00D45886" w:rsidRPr="00F813AD">
        <w:rPr>
          <w:rFonts w:asciiTheme="minorHAnsi" w:eastAsia="Times New Roman" w:hAnsiTheme="minorHAnsi" w:cstheme="minorHAnsi"/>
          <w:color w:val="0E101A"/>
        </w:rPr>
        <w:t xml:space="preserve">. </w:t>
      </w:r>
    </w:p>
    <w:p w14:paraId="0237B0A4" w14:textId="77777777" w:rsidR="00F813AD" w:rsidRPr="00F813AD" w:rsidRDefault="00F813AD" w:rsidP="00F813AD">
      <w:pPr>
        <w:pStyle w:val="NormalWeb"/>
        <w:spacing w:before="0" w:beforeAutospacing="0" w:after="0" w:afterAutospacing="0" w:line="276" w:lineRule="auto"/>
        <w:jc w:val="both"/>
        <w:rPr>
          <w:rFonts w:asciiTheme="minorHAnsi" w:eastAsia="Times New Roman" w:hAnsiTheme="minorHAnsi" w:cstheme="minorHAnsi"/>
          <w:color w:val="0E101A"/>
        </w:rPr>
      </w:pPr>
    </w:p>
    <w:p w14:paraId="299673BB" w14:textId="1C265F1D" w:rsidR="00F813AD" w:rsidRPr="00861941" w:rsidRDefault="002027E4" w:rsidP="00F813AD">
      <w:pPr>
        <w:spacing w:line="276" w:lineRule="auto"/>
        <w:jc w:val="both"/>
        <w:rPr>
          <w:rFonts w:eastAsia="Times New Roman" w:cstheme="minorHAnsi"/>
          <w:color w:val="0E101A"/>
          <w:sz w:val="24"/>
          <w:szCs w:val="24"/>
        </w:rPr>
      </w:pPr>
      <w:proofErr w:type="spellStart"/>
      <w:r w:rsidRPr="00861941">
        <w:rPr>
          <w:rFonts w:eastAsia="Times New Roman" w:cstheme="minorHAnsi"/>
          <w:color w:val="0E101A"/>
          <w:sz w:val="24"/>
          <w:szCs w:val="24"/>
        </w:rPr>
        <w:t>Kalyon</w:t>
      </w:r>
      <w:proofErr w:type="spellEnd"/>
      <w:r w:rsidRPr="00861941">
        <w:rPr>
          <w:rFonts w:eastAsia="Times New Roman" w:cstheme="minorHAnsi"/>
          <w:color w:val="0E101A"/>
          <w:sz w:val="24"/>
          <w:szCs w:val="24"/>
        </w:rPr>
        <w:t xml:space="preserve"> </w:t>
      </w:r>
      <w:proofErr w:type="spellStart"/>
      <w:r w:rsidRPr="00861941">
        <w:rPr>
          <w:rFonts w:eastAsia="Times New Roman" w:cstheme="minorHAnsi"/>
          <w:color w:val="0E101A"/>
          <w:sz w:val="24"/>
          <w:szCs w:val="24"/>
        </w:rPr>
        <w:t>Enerji</w:t>
      </w:r>
      <w:proofErr w:type="spellEnd"/>
      <w:r w:rsidRPr="00861941">
        <w:rPr>
          <w:rFonts w:eastAsia="Times New Roman" w:cstheme="minorHAnsi"/>
          <w:color w:val="0E101A"/>
          <w:sz w:val="24"/>
          <w:szCs w:val="24"/>
        </w:rPr>
        <w:t xml:space="preserve"> is owned by the giant Turkish group </w:t>
      </w:r>
      <w:proofErr w:type="spellStart"/>
      <w:r w:rsidRPr="00861941">
        <w:rPr>
          <w:rFonts w:eastAsia="Times New Roman" w:cstheme="minorHAnsi"/>
          <w:color w:val="0E101A"/>
          <w:sz w:val="24"/>
          <w:szCs w:val="24"/>
        </w:rPr>
        <w:t>Kalyon</w:t>
      </w:r>
      <w:proofErr w:type="spellEnd"/>
      <w:r w:rsidRPr="00861941">
        <w:rPr>
          <w:rFonts w:eastAsia="Times New Roman" w:cstheme="minorHAnsi"/>
          <w:color w:val="0E101A"/>
          <w:sz w:val="24"/>
          <w:szCs w:val="24"/>
        </w:rPr>
        <w:t xml:space="preserve"> Holding, which operates in</w:t>
      </w:r>
      <w:r w:rsidR="00861941" w:rsidRPr="00861941">
        <w:rPr>
          <w:rFonts w:eastAsia="Times New Roman" w:cstheme="minorHAnsi"/>
          <w:color w:val="0E101A"/>
          <w:sz w:val="24"/>
          <w:szCs w:val="24"/>
        </w:rPr>
        <w:t xml:space="preserve"> the </w:t>
      </w:r>
      <w:r w:rsidRPr="00861941">
        <w:rPr>
          <w:rFonts w:eastAsia="Times New Roman" w:cstheme="minorHAnsi"/>
          <w:color w:val="0E101A"/>
          <w:sz w:val="24"/>
          <w:szCs w:val="24"/>
        </w:rPr>
        <w:t>Construction, Energy</w:t>
      </w:r>
      <w:r w:rsidR="00861941" w:rsidRPr="00861941">
        <w:rPr>
          <w:rFonts w:eastAsia="Times New Roman" w:cstheme="minorHAnsi"/>
          <w:color w:val="0E101A"/>
          <w:sz w:val="24"/>
          <w:szCs w:val="24"/>
        </w:rPr>
        <w:t xml:space="preserve"> and</w:t>
      </w:r>
      <w:r w:rsidRPr="00861941">
        <w:rPr>
          <w:rFonts w:eastAsia="Times New Roman" w:cstheme="minorHAnsi"/>
          <w:color w:val="0E101A"/>
          <w:sz w:val="24"/>
          <w:szCs w:val="24"/>
        </w:rPr>
        <w:t xml:space="preserve"> Aviation industries. In this transaction, </w:t>
      </w:r>
      <w:proofErr w:type="gramStart"/>
      <w:r w:rsidR="00D45886" w:rsidRPr="00861941">
        <w:rPr>
          <w:rFonts w:eastAsia="Times New Roman" w:cstheme="minorHAnsi"/>
          <w:color w:val="0E101A"/>
          <w:sz w:val="24"/>
          <w:szCs w:val="24"/>
        </w:rPr>
        <w:t>IHC</w:t>
      </w:r>
      <w:r w:rsidR="00861941" w:rsidRPr="00861941">
        <w:rPr>
          <w:rFonts w:eastAsia="Times New Roman" w:cstheme="minorHAnsi"/>
          <w:color w:val="0E101A"/>
          <w:sz w:val="24"/>
          <w:szCs w:val="24"/>
        </w:rPr>
        <w:t>’s</w:t>
      </w:r>
      <w:r w:rsidR="00D45886" w:rsidRPr="00861941">
        <w:rPr>
          <w:rFonts w:eastAsia="Times New Roman" w:cstheme="minorHAnsi"/>
          <w:color w:val="0E101A"/>
          <w:sz w:val="24"/>
          <w:szCs w:val="24"/>
        </w:rPr>
        <w:t xml:space="preserve"> </w:t>
      </w:r>
      <w:r w:rsidRPr="00861941">
        <w:rPr>
          <w:rFonts w:eastAsia="Times New Roman" w:cstheme="minorHAnsi"/>
          <w:color w:val="0E101A"/>
          <w:sz w:val="24"/>
          <w:szCs w:val="24"/>
        </w:rPr>
        <w:t xml:space="preserve"> subsidiary</w:t>
      </w:r>
      <w:proofErr w:type="gramEnd"/>
      <w:r w:rsidRPr="00861941">
        <w:rPr>
          <w:rFonts w:eastAsia="Times New Roman" w:cstheme="minorHAnsi"/>
          <w:color w:val="0E101A"/>
          <w:sz w:val="24"/>
          <w:szCs w:val="24"/>
        </w:rPr>
        <w:t xml:space="preserve">, </w:t>
      </w:r>
      <w:r w:rsidR="00861941" w:rsidRPr="00861941">
        <w:rPr>
          <w:rFonts w:eastAsia="Times New Roman" w:cstheme="minorHAnsi"/>
          <w:color w:val="000000"/>
          <w:sz w:val="24"/>
          <w:szCs w:val="24"/>
          <w:lang w:val="en-AE"/>
        </w:rPr>
        <w:t xml:space="preserve">International </w:t>
      </w:r>
      <w:r w:rsidR="00861941" w:rsidRPr="00861941">
        <w:rPr>
          <w:rFonts w:eastAsia="Times New Roman" w:cstheme="minorHAnsi"/>
          <w:color w:val="0E101A"/>
          <w:sz w:val="24"/>
          <w:szCs w:val="24"/>
        </w:rPr>
        <w:t>Energy</w:t>
      </w:r>
      <w:r w:rsidR="00861941" w:rsidRPr="00861941">
        <w:rPr>
          <w:rFonts w:eastAsia="Times New Roman" w:cstheme="minorHAnsi"/>
          <w:color w:val="000000"/>
          <w:sz w:val="24"/>
          <w:szCs w:val="24"/>
          <w:lang w:val="en-AE"/>
        </w:rPr>
        <w:t xml:space="preserve"> Holding</w:t>
      </w:r>
      <w:r w:rsidRPr="00861941">
        <w:rPr>
          <w:rFonts w:eastAsia="Times New Roman" w:cstheme="minorHAnsi"/>
          <w:color w:val="0E101A"/>
          <w:sz w:val="24"/>
          <w:szCs w:val="24"/>
        </w:rPr>
        <w:t xml:space="preserve">, will have a </w:t>
      </w:r>
      <w:r w:rsidRPr="00861941">
        <w:rPr>
          <w:rFonts w:eastAsia="Times New Roman" w:cstheme="minorHAnsi"/>
          <w:b/>
          <w:bCs/>
          <w:color w:val="0E101A"/>
          <w:sz w:val="24"/>
          <w:szCs w:val="24"/>
        </w:rPr>
        <w:t>50% stake</w:t>
      </w:r>
      <w:r w:rsidRPr="00861941">
        <w:rPr>
          <w:rFonts w:eastAsia="Times New Roman" w:cstheme="minorHAnsi"/>
          <w:color w:val="0E101A"/>
          <w:sz w:val="24"/>
          <w:szCs w:val="24"/>
        </w:rPr>
        <w:t xml:space="preserve"> in </w:t>
      </w:r>
      <w:proofErr w:type="spellStart"/>
      <w:r w:rsidRPr="00861941">
        <w:rPr>
          <w:rFonts w:eastAsia="Times New Roman" w:cstheme="minorHAnsi"/>
          <w:color w:val="0E101A"/>
          <w:sz w:val="24"/>
          <w:szCs w:val="24"/>
        </w:rPr>
        <w:t>Kalyon</w:t>
      </w:r>
      <w:proofErr w:type="spellEnd"/>
      <w:r w:rsidRPr="00861941">
        <w:rPr>
          <w:rFonts w:eastAsia="Times New Roman" w:cstheme="minorHAnsi"/>
          <w:color w:val="0E101A"/>
          <w:sz w:val="24"/>
          <w:szCs w:val="24"/>
        </w:rPr>
        <w:t xml:space="preserve"> </w:t>
      </w:r>
      <w:proofErr w:type="spellStart"/>
      <w:r w:rsidRPr="00861941">
        <w:rPr>
          <w:rFonts w:eastAsia="Times New Roman" w:cstheme="minorHAnsi"/>
          <w:color w:val="0E101A"/>
          <w:sz w:val="24"/>
          <w:szCs w:val="24"/>
        </w:rPr>
        <w:t>Enerji</w:t>
      </w:r>
      <w:proofErr w:type="spellEnd"/>
      <w:r w:rsidRPr="00861941">
        <w:rPr>
          <w:rFonts w:eastAsia="Times New Roman" w:cstheme="minorHAnsi"/>
          <w:color w:val="0E101A"/>
          <w:sz w:val="24"/>
          <w:szCs w:val="24"/>
        </w:rPr>
        <w:t xml:space="preserve">, which will </w:t>
      </w:r>
      <w:r w:rsidR="00D45886" w:rsidRPr="00861941">
        <w:rPr>
          <w:rFonts w:eastAsia="Times New Roman" w:cstheme="minorHAnsi"/>
          <w:color w:val="0E101A"/>
          <w:sz w:val="24"/>
          <w:szCs w:val="24"/>
        </w:rPr>
        <w:t>add to</w:t>
      </w:r>
      <w:r w:rsidRPr="00861941">
        <w:rPr>
          <w:rFonts w:eastAsia="Times New Roman" w:cstheme="minorHAnsi"/>
          <w:color w:val="0E101A"/>
          <w:sz w:val="24"/>
          <w:szCs w:val="24"/>
        </w:rPr>
        <w:t xml:space="preserve"> </w:t>
      </w:r>
      <w:r w:rsidR="00D45886" w:rsidRPr="00861941">
        <w:rPr>
          <w:rFonts w:eastAsia="Times New Roman" w:cstheme="minorHAnsi"/>
          <w:color w:val="0E101A"/>
          <w:sz w:val="24"/>
          <w:szCs w:val="24"/>
        </w:rPr>
        <w:t>IHC</w:t>
      </w:r>
      <w:r w:rsidR="00861941" w:rsidRPr="00861941">
        <w:rPr>
          <w:rFonts w:eastAsia="Times New Roman" w:cstheme="minorHAnsi"/>
          <w:color w:val="0E101A"/>
          <w:sz w:val="24"/>
          <w:szCs w:val="24"/>
        </w:rPr>
        <w:t xml:space="preserve"> Group</w:t>
      </w:r>
      <w:r w:rsidRPr="00861941">
        <w:rPr>
          <w:rFonts w:eastAsia="Times New Roman" w:cstheme="minorHAnsi"/>
          <w:color w:val="0E101A"/>
          <w:sz w:val="24"/>
          <w:szCs w:val="24"/>
        </w:rPr>
        <w:t xml:space="preserve"> </w:t>
      </w:r>
      <w:r w:rsidR="00D45886" w:rsidRPr="00861941">
        <w:rPr>
          <w:rFonts w:eastAsia="Times New Roman" w:cstheme="minorHAnsi"/>
          <w:color w:val="0E101A"/>
          <w:sz w:val="24"/>
          <w:szCs w:val="24"/>
        </w:rPr>
        <w:t xml:space="preserve">international </w:t>
      </w:r>
      <w:r w:rsidRPr="00861941">
        <w:rPr>
          <w:rFonts w:eastAsia="Times New Roman" w:cstheme="minorHAnsi"/>
          <w:color w:val="0E101A"/>
          <w:sz w:val="24"/>
          <w:szCs w:val="24"/>
        </w:rPr>
        <w:t>growth prospects with access to its power trading capabilities. </w:t>
      </w:r>
    </w:p>
    <w:p w14:paraId="05B1AAD2" w14:textId="0604B79E" w:rsidR="006D760B" w:rsidRPr="00A9055F" w:rsidRDefault="002027E4" w:rsidP="00A9055F">
      <w:pPr>
        <w:spacing w:after="0"/>
        <w:jc w:val="both"/>
        <w:rPr>
          <w:rFonts w:eastAsia="Times New Roman" w:cstheme="minorHAnsi"/>
          <w:color w:val="0E101A"/>
          <w:sz w:val="24"/>
          <w:szCs w:val="24"/>
          <w:lang w:val="en-AE"/>
        </w:rPr>
      </w:pPr>
      <w:r w:rsidRPr="00A9055F">
        <w:rPr>
          <w:rFonts w:eastAsia="Times New Roman" w:cstheme="minorHAnsi"/>
          <w:color w:val="0E101A"/>
          <w:sz w:val="24"/>
          <w:szCs w:val="24"/>
        </w:rPr>
        <w:t>Commenting on the acquisition, </w:t>
      </w:r>
      <w:r w:rsidR="00F813AD" w:rsidRPr="00A9055F">
        <w:rPr>
          <w:rFonts w:cstheme="minorHAnsi"/>
          <w:b/>
          <w:bCs/>
          <w:sz w:val="24"/>
          <w:szCs w:val="24"/>
        </w:rPr>
        <w:t xml:space="preserve">Syed </w:t>
      </w:r>
      <w:proofErr w:type="spellStart"/>
      <w:r w:rsidR="00F813AD" w:rsidRPr="00A9055F">
        <w:rPr>
          <w:rFonts w:cstheme="minorHAnsi"/>
          <w:b/>
          <w:bCs/>
          <w:sz w:val="24"/>
          <w:szCs w:val="24"/>
        </w:rPr>
        <w:t>Basar</w:t>
      </w:r>
      <w:proofErr w:type="spellEnd"/>
      <w:r w:rsidR="00F813AD" w:rsidRPr="00A9055F">
        <w:rPr>
          <w:rFonts w:cstheme="minorHAnsi"/>
          <w:b/>
          <w:bCs/>
          <w:sz w:val="24"/>
          <w:szCs w:val="24"/>
        </w:rPr>
        <w:t xml:space="preserve"> </w:t>
      </w:r>
      <w:proofErr w:type="spellStart"/>
      <w:r w:rsidR="00F813AD" w:rsidRPr="00A9055F">
        <w:rPr>
          <w:rFonts w:cstheme="minorHAnsi"/>
          <w:b/>
          <w:bCs/>
          <w:sz w:val="24"/>
          <w:szCs w:val="24"/>
        </w:rPr>
        <w:t>Shueb</w:t>
      </w:r>
      <w:proofErr w:type="spellEnd"/>
      <w:r w:rsidR="00F813AD" w:rsidRPr="00A9055F">
        <w:rPr>
          <w:rFonts w:cstheme="minorHAnsi"/>
          <w:b/>
          <w:bCs/>
          <w:sz w:val="24"/>
          <w:szCs w:val="24"/>
        </w:rPr>
        <w:t xml:space="preserve">, IHC’s Chief Executive Officer, </w:t>
      </w:r>
      <w:r w:rsidRPr="00A9055F">
        <w:rPr>
          <w:rFonts w:eastAsia="Times New Roman" w:cstheme="minorHAnsi"/>
          <w:b/>
          <w:bCs/>
          <w:color w:val="0E101A"/>
          <w:sz w:val="24"/>
          <w:szCs w:val="24"/>
        </w:rPr>
        <w:t>said:"</w:t>
      </w:r>
      <w:r w:rsidRPr="00A9055F">
        <w:rPr>
          <w:rFonts w:eastAsia="Times New Roman" w:cstheme="minorHAnsi"/>
          <w:color w:val="0E101A"/>
          <w:sz w:val="24"/>
          <w:szCs w:val="24"/>
        </w:rPr>
        <w:t> </w:t>
      </w:r>
      <w:r w:rsidR="00F813AD" w:rsidRPr="00A9055F">
        <w:rPr>
          <w:rFonts w:eastAsia="Times New Roman" w:cstheme="minorHAnsi"/>
          <w:color w:val="0E101A"/>
          <w:sz w:val="24"/>
          <w:szCs w:val="24"/>
          <w:lang w:val="en-AE"/>
        </w:rPr>
        <w:t>This constitutes IHC's second-largest acquisition in the renewable energy sector</w:t>
      </w:r>
      <w:r w:rsidR="00F813AD" w:rsidRPr="00A9055F">
        <w:rPr>
          <w:rFonts w:eastAsia="Times New Roman" w:cstheme="minorHAnsi"/>
          <w:color w:val="0E101A"/>
          <w:sz w:val="24"/>
          <w:szCs w:val="24"/>
          <w:lang w:val="en-US"/>
        </w:rPr>
        <w:t xml:space="preserve"> to date.</w:t>
      </w:r>
      <w:r w:rsidR="00F813AD" w:rsidRPr="00A9055F">
        <w:rPr>
          <w:rFonts w:eastAsia="Times New Roman" w:cstheme="minorHAnsi"/>
          <w:color w:val="0E101A"/>
          <w:sz w:val="24"/>
          <w:szCs w:val="24"/>
          <w:lang w:val="en-AE"/>
        </w:rPr>
        <w:t xml:space="preserve"> With this transaction, IHC is further accelerating its growth in the renewable energy sector by partnering with Kalyon Enerji, and this will complement our renewable energy portfolio, which we will continue to grow across different markets". </w:t>
      </w:r>
    </w:p>
    <w:p w14:paraId="686AD654" w14:textId="77777777" w:rsidR="006D760B" w:rsidRPr="00A9055F" w:rsidRDefault="006D760B" w:rsidP="002027E4">
      <w:pPr>
        <w:spacing w:line="276" w:lineRule="auto"/>
        <w:jc w:val="both"/>
        <w:rPr>
          <w:rFonts w:eastAsia="Times New Roman" w:cstheme="minorHAnsi"/>
          <w:color w:val="0E101A"/>
          <w:sz w:val="24"/>
          <w:szCs w:val="24"/>
        </w:rPr>
      </w:pPr>
    </w:p>
    <w:p w14:paraId="4BA7084B" w14:textId="12B9AD74" w:rsidR="002027E4" w:rsidRPr="00A9055F" w:rsidRDefault="002027E4" w:rsidP="009D380A">
      <w:pPr>
        <w:spacing w:line="276" w:lineRule="auto"/>
        <w:jc w:val="both"/>
        <w:rPr>
          <w:rFonts w:eastAsia="Times New Roman" w:cstheme="minorHAnsi"/>
          <w:color w:val="0E101A"/>
          <w:sz w:val="24"/>
          <w:szCs w:val="24"/>
        </w:rPr>
      </w:pPr>
      <w:r w:rsidRPr="00A9055F">
        <w:rPr>
          <w:rFonts w:eastAsia="Times New Roman" w:cstheme="minorHAnsi"/>
          <w:color w:val="0E101A"/>
          <w:sz w:val="24"/>
          <w:szCs w:val="24"/>
        </w:rPr>
        <w:t>The </w:t>
      </w:r>
      <w:r w:rsidRPr="00A9055F">
        <w:rPr>
          <w:rFonts w:eastAsia="Times New Roman" w:cstheme="minorHAnsi"/>
          <w:b/>
          <w:bCs/>
          <w:color w:val="0E101A"/>
          <w:sz w:val="24"/>
          <w:szCs w:val="24"/>
        </w:rPr>
        <w:t xml:space="preserve">AED </w:t>
      </w:r>
      <w:r w:rsidR="00861941">
        <w:rPr>
          <w:rFonts w:eastAsia="Times New Roman" w:cstheme="minorHAnsi"/>
          <w:b/>
          <w:bCs/>
          <w:color w:val="0E101A"/>
          <w:sz w:val="24"/>
          <w:szCs w:val="24"/>
        </w:rPr>
        <w:t>1</w:t>
      </w:r>
      <w:r w:rsidRPr="00A9055F">
        <w:rPr>
          <w:rFonts w:eastAsia="Times New Roman" w:cstheme="minorHAnsi"/>
          <w:b/>
          <w:bCs/>
          <w:color w:val="0E101A"/>
          <w:sz w:val="24"/>
          <w:szCs w:val="24"/>
        </w:rPr>
        <w:t>.</w:t>
      </w:r>
      <w:r w:rsidR="00861941">
        <w:rPr>
          <w:rFonts w:eastAsia="Times New Roman" w:cstheme="minorHAnsi"/>
          <w:b/>
          <w:bCs/>
          <w:color w:val="0E101A"/>
          <w:sz w:val="24"/>
          <w:szCs w:val="24"/>
        </w:rPr>
        <w:t>8</w:t>
      </w:r>
      <w:r w:rsidRPr="00A9055F">
        <w:rPr>
          <w:rFonts w:eastAsia="Times New Roman" w:cstheme="minorHAnsi"/>
          <w:b/>
          <w:bCs/>
          <w:color w:val="0E101A"/>
          <w:sz w:val="24"/>
          <w:szCs w:val="24"/>
        </w:rPr>
        <w:t xml:space="preserve"> billion</w:t>
      </w:r>
      <w:r w:rsidRPr="00A9055F">
        <w:rPr>
          <w:rFonts w:eastAsia="Times New Roman" w:cstheme="minorHAnsi"/>
          <w:color w:val="0E101A"/>
          <w:sz w:val="24"/>
          <w:szCs w:val="24"/>
        </w:rPr>
        <w:t xml:space="preserve"> deal </w:t>
      </w:r>
      <w:proofErr w:type="gramStart"/>
      <w:r w:rsidRPr="00A9055F">
        <w:rPr>
          <w:rFonts w:eastAsia="Times New Roman" w:cstheme="minorHAnsi"/>
          <w:color w:val="0E101A"/>
          <w:sz w:val="24"/>
          <w:szCs w:val="24"/>
        </w:rPr>
        <w:t>included</w:t>
      </w:r>
      <w:r w:rsidR="00861941">
        <w:rPr>
          <w:rFonts w:eastAsia="Times New Roman" w:cstheme="minorHAnsi"/>
          <w:color w:val="0E101A"/>
          <w:sz w:val="24"/>
          <w:szCs w:val="24"/>
        </w:rPr>
        <w:t>,</w:t>
      </w:r>
      <w:proofErr w:type="gramEnd"/>
      <w:r w:rsidRPr="00A9055F">
        <w:rPr>
          <w:rFonts w:eastAsia="Times New Roman" w:cstheme="minorHAnsi"/>
          <w:color w:val="0E101A"/>
          <w:sz w:val="24"/>
          <w:szCs w:val="24"/>
        </w:rPr>
        <w:t xml:space="preserve"> the photovoltaic power plant project with an installed capacity of 1,347.734 MWp / 1,000 MWe in the </w:t>
      </w:r>
      <w:proofErr w:type="spellStart"/>
      <w:r w:rsidRPr="00A9055F">
        <w:rPr>
          <w:rFonts w:eastAsia="Times New Roman" w:cstheme="minorHAnsi"/>
          <w:color w:val="0E101A"/>
          <w:sz w:val="24"/>
          <w:szCs w:val="24"/>
        </w:rPr>
        <w:t>Karapinar</w:t>
      </w:r>
      <w:proofErr w:type="spellEnd"/>
      <w:r w:rsidRPr="00A9055F">
        <w:rPr>
          <w:rFonts w:eastAsia="Times New Roman" w:cstheme="minorHAnsi"/>
          <w:color w:val="0E101A"/>
          <w:sz w:val="24"/>
          <w:szCs w:val="24"/>
        </w:rPr>
        <w:t xml:space="preserve"> Region in Konya</w:t>
      </w:r>
      <w:r w:rsidR="00861941">
        <w:rPr>
          <w:rFonts w:eastAsia="Times New Roman" w:cstheme="minorHAnsi"/>
          <w:color w:val="0E101A"/>
          <w:sz w:val="24"/>
          <w:szCs w:val="24"/>
        </w:rPr>
        <w:t>.</w:t>
      </w:r>
      <w:r w:rsidRPr="00A9055F">
        <w:rPr>
          <w:rFonts w:eastAsia="Times New Roman" w:cstheme="minorHAnsi"/>
          <w:color w:val="0E101A"/>
          <w:sz w:val="24"/>
          <w:szCs w:val="24"/>
        </w:rPr>
        <w:t xml:space="preserve"> </w:t>
      </w:r>
    </w:p>
    <w:p w14:paraId="61F5F1D2" w14:textId="3BF95B4D" w:rsidR="002027E4" w:rsidRPr="00A9055F" w:rsidRDefault="002027E4" w:rsidP="002027E4">
      <w:pPr>
        <w:spacing w:line="276" w:lineRule="auto"/>
        <w:jc w:val="both"/>
        <w:rPr>
          <w:rFonts w:eastAsia="Times New Roman" w:cstheme="minorHAnsi"/>
          <w:color w:val="0E101A"/>
          <w:sz w:val="24"/>
          <w:szCs w:val="24"/>
        </w:rPr>
      </w:pPr>
      <w:r w:rsidRPr="00A9055F">
        <w:rPr>
          <w:rFonts w:eastAsia="Times New Roman" w:cstheme="minorHAnsi"/>
          <w:color w:val="0E101A"/>
          <w:sz w:val="24"/>
          <w:szCs w:val="24"/>
        </w:rPr>
        <w:t xml:space="preserve">located in Ankara, the wind Project of 1GW capacity developed by YEKA, 100 MW Solar Project in </w:t>
      </w:r>
      <w:proofErr w:type="spellStart"/>
      <w:r w:rsidRPr="00A9055F">
        <w:rPr>
          <w:rFonts w:eastAsia="Times New Roman" w:cstheme="minorHAnsi"/>
          <w:color w:val="0E101A"/>
          <w:sz w:val="24"/>
          <w:szCs w:val="24"/>
        </w:rPr>
        <w:t>Niğde</w:t>
      </w:r>
      <w:proofErr w:type="spellEnd"/>
      <w:r w:rsidRPr="00A9055F">
        <w:rPr>
          <w:rFonts w:eastAsia="Times New Roman" w:cstheme="minorHAnsi"/>
          <w:color w:val="0E101A"/>
          <w:sz w:val="24"/>
          <w:szCs w:val="24"/>
        </w:rPr>
        <w:t>, 50 MW Solar Project in Gaziantep</w:t>
      </w:r>
      <w:r w:rsidR="00861941">
        <w:rPr>
          <w:rFonts w:eastAsia="Times New Roman" w:cstheme="minorHAnsi"/>
          <w:color w:val="0E101A"/>
          <w:sz w:val="24"/>
          <w:szCs w:val="24"/>
        </w:rPr>
        <w:t xml:space="preserve">, </w:t>
      </w:r>
      <w:r w:rsidRPr="00A9055F">
        <w:rPr>
          <w:rFonts w:eastAsia="Times New Roman" w:cstheme="minorHAnsi"/>
          <w:color w:val="0E101A"/>
          <w:sz w:val="24"/>
          <w:szCs w:val="24"/>
        </w:rPr>
        <w:t>other renewable projects in various cities of Turkey.</w:t>
      </w:r>
    </w:p>
    <w:p w14:paraId="334AF78E" w14:textId="77777777" w:rsidR="002027E4" w:rsidRPr="00A9055F" w:rsidRDefault="002027E4" w:rsidP="002027E4">
      <w:pPr>
        <w:spacing w:line="276" w:lineRule="auto"/>
        <w:jc w:val="both"/>
        <w:rPr>
          <w:rFonts w:eastAsia="Times New Roman" w:cstheme="minorHAnsi"/>
          <w:color w:val="0E101A"/>
          <w:sz w:val="24"/>
          <w:szCs w:val="24"/>
        </w:rPr>
      </w:pPr>
    </w:p>
    <w:p w14:paraId="6EA2F323" w14:textId="7BF3CF6E" w:rsidR="002027E4" w:rsidRDefault="002027E4" w:rsidP="00A9055F">
      <w:pPr>
        <w:spacing w:line="276" w:lineRule="auto"/>
        <w:jc w:val="both"/>
        <w:rPr>
          <w:rFonts w:eastAsia="Times New Roman" w:cstheme="minorHAnsi"/>
          <w:color w:val="0E101A"/>
          <w:sz w:val="24"/>
          <w:szCs w:val="24"/>
        </w:rPr>
      </w:pPr>
      <w:r w:rsidRPr="00A9055F">
        <w:rPr>
          <w:rFonts w:eastAsia="Times New Roman" w:cstheme="minorHAnsi"/>
          <w:color w:val="0E101A"/>
          <w:sz w:val="24"/>
          <w:szCs w:val="24"/>
        </w:rPr>
        <w:lastRenderedPageBreak/>
        <w:t>Underlining that this strategic cooperation is of great importance not only for the two countries but also on a regional scale,</w:t>
      </w:r>
      <w:r w:rsidR="006D760B" w:rsidRPr="00A9055F">
        <w:rPr>
          <w:rFonts w:eastAsia="Times New Roman" w:cstheme="minorHAnsi"/>
          <w:color w:val="0E101A"/>
          <w:sz w:val="24"/>
          <w:szCs w:val="24"/>
        </w:rPr>
        <w:t xml:space="preserve"> </w:t>
      </w:r>
      <w:proofErr w:type="spellStart"/>
      <w:r w:rsidR="006D760B" w:rsidRPr="00A9055F">
        <w:rPr>
          <w:rFonts w:eastAsia="Times New Roman" w:cstheme="minorHAnsi"/>
          <w:b/>
          <w:bCs/>
          <w:color w:val="0E101A"/>
          <w:sz w:val="24"/>
          <w:szCs w:val="24"/>
        </w:rPr>
        <w:t>Cemal</w:t>
      </w:r>
      <w:proofErr w:type="spellEnd"/>
      <w:r w:rsidR="006D760B" w:rsidRPr="00A9055F">
        <w:rPr>
          <w:rFonts w:eastAsia="Times New Roman" w:cstheme="minorHAnsi"/>
          <w:b/>
          <w:bCs/>
          <w:color w:val="0E101A"/>
          <w:sz w:val="24"/>
          <w:szCs w:val="24"/>
        </w:rPr>
        <w:t xml:space="preserve"> </w:t>
      </w:r>
      <w:proofErr w:type="spellStart"/>
      <w:r w:rsidR="006D760B" w:rsidRPr="00A9055F">
        <w:rPr>
          <w:rFonts w:eastAsia="Times New Roman" w:cstheme="minorHAnsi"/>
          <w:b/>
          <w:bCs/>
          <w:color w:val="0E101A"/>
          <w:sz w:val="24"/>
          <w:szCs w:val="24"/>
        </w:rPr>
        <w:t>Kalyoncu</w:t>
      </w:r>
      <w:proofErr w:type="spellEnd"/>
      <w:r w:rsidR="006D760B" w:rsidRPr="00A9055F">
        <w:rPr>
          <w:rFonts w:eastAsia="Times New Roman" w:cstheme="minorHAnsi"/>
          <w:b/>
          <w:bCs/>
          <w:color w:val="0E101A"/>
          <w:sz w:val="24"/>
          <w:szCs w:val="24"/>
        </w:rPr>
        <w:t xml:space="preserve">, </w:t>
      </w:r>
      <w:proofErr w:type="spellStart"/>
      <w:r w:rsidRPr="00A9055F">
        <w:rPr>
          <w:rFonts w:eastAsia="Times New Roman" w:cstheme="minorHAnsi"/>
          <w:b/>
          <w:bCs/>
          <w:color w:val="0E101A"/>
          <w:sz w:val="24"/>
          <w:szCs w:val="24"/>
        </w:rPr>
        <w:t>Kalyon</w:t>
      </w:r>
      <w:proofErr w:type="spellEnd"/>
      <w:r w:rsidRPr="00A9055F">
        <w:rPr>
          <w:rFonts w:eastAsia="Times New Roman" w:cstheme="minorHAnsi"/>
          <w:b/>
          <w:bCs/>
          <w:color w:val="0E101A"/>
          <w:sz w:val="24"/>
          <w:szCs w:val="24"/>
        </w:rPr>
        <w:t xml:space="preserve"> Holding Chairman of the Board </w:t>
      </w:r>
      <w:r w:rsidR="006D760B" w:rsidRPr="00A9055F">
        <w:rPr>
          <w:rFonts w:eastAsia="Times New Roman" w:cstheme="minorHAnsi"/>
          <w:b/>
          <w:bCs/>
          <w:color w:val="0E101A"/>
          <w:sz w:val="24"/>
          <w:szCs w:val="24"/>
        </w:rPr>
        <w:t>sa</w:t>
      </w:r>
      <w:r w:rsidR="00297467">
        <w:rPr>
          <w:rFonts w:eastAsia="Times New Roman" w:cstheme="minorHAnsi"/>
          <w:b/>
          <w:bCs/>
          <w:color w:val="0E101A"/>
          <w:sz w:val="24"/>
          <w:szCs w:val="24"/>
        </w:rPr>
        <w:t>i</w:t>
      </w:r>
      <w:r w:rsidR="006D760B" w:rsidRPr="00A9055F">
        <w:rPr>
          <w:rFonts w:eastAsia="Times New Roman" w:cstheme="minorHAnsi"/>
          <w:b/>
          <w:bCs/>
          <w:color w:val="0E101A"/>
          <w:sz w:val="24"/>
          <w:szCs w:val="24"/>
        </w:rPr>
        <w:t>d</w:t>
      </w:r>
      <w:r w:rsidRPr="00A9055F">
        <w:rPr>
          <w:rFonts w:eastAsia="Times New Roman" w:cstheme="minorHAnsi"/>
          <w:b/>
          <w:bCs/>
          <w:color w:val="0E101A"/>
          <w:sz w:val="24"/>
          <w:szCs w:val="24"/>
        </w:rPr>
        <w:t>:</w:t>
      </w:r>
      <w:r w:rsidRPr="00A9055F">
        <w:rPr>
          <w:rFonts w:eastAsia="Times New Roman" w:cstheme="minorHAnsi"/>
          <w:color w:val="0E101A"/>
          <w:sz w:val="24"/>
          <w:szCs w:val="24"/>
        </w:rPr>
        <w:t xml:space="preserve"> “The steps we have taken in the energy sector and the investments we have made, have attracted the attention of foreign investors so far. </w:t>
      </w:r>
      <w:r w:rsidR="00297467">
        <w:rPr>
          <w:rFonts w:eastAsia="Times New Roman" w:cstheme="minorHAnsi"/>
          <w:color w:val="0E101A"/>
          <w:sz w:val="24"/>
          <w:szCs w:val="24"/>
        </w:rPr>
        <w:t>T</w:t>
      </w:r>
      <w:r w:rsidRPr="00A9055F">
        <w:rPr>
          <w:rFonts w:eastAsia="Times New Roman" w:cstheme="minorHAnsi"/>
          <w:color w:val="0E101A"/>
          <w:sz w:val="24"/>
          <w:szCs w:val="24"/>
        </w:rPr>
        <w:t>his strategic cooperation is of historical importance in terms of realizing both potential projects in Turkey</w:t>
      </w:r>
      <w:r w:rsidR="00297467">
        <w:rPr>
          <w:rFonts w:eastAsia="Times New Roman" w:cstheme="minorHAnsi"/>
          <w:color w:val="0E101A"/>
          <w:sz w:val="24"/>
          <w:szCs w:val="24"/>
        </w:rPr>
        <w:t>,</w:t>
      </w:r>
      <w:r w:rsidRPr="00A9055F">
        <w:rPr>
          <w:rFonts w:eastAsia="Times New Roman" w:cstheme="minorHAnsi"/>
          <w:color w:val="0E101A"/>
          <w:sz w:val="24"/>
          <w:szCs w:val="24"/>
        </w:rPr>
        <w:t xml:space="preserve"> and new markets and business fields in geographies</w:t>
      </w:r>
      <w:r w:rsidR="00297467">
        <w:rPr>
          <w:rFonts w:eastAsia="Times New Roman" w:cstheme="minorHAnsi"/>
          <w:color w:val="0E101A"/>
          <w:sz w:val="24"/>
          <w:szCs w:val="24"/>
        </w:rPr>
        <w:t>,</w:t>
      </w:r>
      <w:r w:rsidRPr="00A9055F">
        <w:rPr>
          <w:rFonts w:eastAsia="Times New Roman" w:cstheme="minorHAnsi"/>
          <w:color w:val="0E101A"/>
          <w:sz w:val="24"/>
          <w:szCs w:val="24"/>
        </w:rPr>
        <w:t xml:space="preserve"> that we plan to enter in the world, it will make a great contribution to our geography as well as our country. We </w:t>
      </w:r>
      <w:proofErr w:type="gramStart"/>
      <w:r w:rsidRPr="00A9055F">
        <w:rPr>
          <w:rFonts w:eastAsia="Times New Roman" w:cstheme="minorHAnsi"/>
          <w:color w:val="0E101A"/>
          <w:sz w:val="24"/>
          <w:szCs w:val="24"/>
        </w:rPr>
        <w:t>have  always</w:t>
      </w:r>
      <w:proofErr w:type="gramEnd"/>
      <w:r w:rsidRPr="00A9055F">
        <w:rPr>
          <w:rFonts w:eastAsia="Times New Roman" w:cstheme="minorHAnsi"/>
          <w:color w:val="0E101A"/>
          <w:sz w:val="24"/>
          <w:szCs w:val="24"/>
        </w:rPr>
        <w:t xml:space="preserve"> been committed to enriching human life by contributing to social development without losing environmental awareness. With climate change being the defining challenge of our time, we must accelerate our efforts to transform our planet into a sustainable green economy.” </w:t>
      </w:r>
    </w:p>
    <w:p w14:paraId="016BCA6E" w14:textId="77777777" w:rsidR="00A9055F" w:rsidRPr="00A9055F" w:rsidRDefault="00A9055F" w:rsidP="00A9055F">
      <w:pPr>
        <w:spacing w:line="276" w:lineRule="auto"/>
        <w:jc w:val="both"/>
        <w:rPr>
          <w:rFonts w:eastAsia="Times New Roman" w:cstheme="minorHAnsi"/>
          <w:color w:val="0E101A"/>
          <w:sz w:val="24"/>
          <w:szCs w:val="24"/>
        </w:rPr>
      </w:pPr>
    </w:p>
    <w:p w14:paraId="1C87E5A2" w14:textId="36DDB536" w:rsidR="00A9055F" w:rsidRPr="00A9055F" w:rsidRDefault="002027E4" w:rsidP="00A9055F">
      <w:pPr>
        <w:spacing w:line="276" w:lineRule="auto"/>
        <w:jc w:val="both"/>
        <w:rPr>
          <w:rFonts w:eastAsia="Times New Roman" w:cstheme="minorHAnsi"/>
          <w:color w:val="0E101A"/>
          <w:sz w:val="24"/>
          <w:szCs w:val="24"/>
        </w:rPr>
      </w:pPr>
      <w:proofErr w:type="spellStart"/>
      <w:r w:rsidRPr="00A9055F">
        <w:rPr>
          <w:rFonts w:eastAsia="Times New Roman" w:cstheme="minorHAnsi"/>
          <w:color w:val="0E101A"/>
          <w:sz w:val="24"/>
          <w:szCs w:val="24"/>
        </w:rPr>
        <w:t>Kalyon</w:t>
      </w:r>
      <w:proofErr w:type="spellEnd"/>
      <w:r w:rsidRPr="00A9055F">
        <w:rPr>
          <w:rFonts w:eastAsia="Times New Roman" w:cstheme="minorHAnsi"/>
          <w:color w:val="0E101A"/>
          <w:sz w:val="24"/>
          <w:szCs w:val="24"/>
        </w:rPr>
        <w:t xml:space="preserve"> </w:t>
      </w:r>
      <w:proofErr w:type="spellStart"/>
      <w:r w:rsidRPr="00A9055F">
        <w:rPr>
          <w:rFonts w:eastAsia="Times New Roman" w:cstheme="minorHAnsi"/>
          <w:color w:val="0E101A"/>
          <w:sz w:val="24"/>
          <w:szCs w:val="24"/>
        </w:rPr>
        <w:t>Karapınar</w:t>
      </w:r>
      <w:proofErr w:type="spellEnd"/>
      <w:r w:rsidRPr="00A9055F">
        <w:rPr>
          <w:rFonts w:eastAsia="Times New Roman" w:cstheme="minorHAnsi"/>
          <w:color w:val="0E101A"/>
          <w:sz w:val="24"/>
          <w:szCs w:val="24"/>
        </w:rPr>
        <w:t xml:space="preserve"> Solar Power Plant established on approximately 20 million square meters in Konya's </w:t>
      </w:r>
      <w:proofErr w:type="spellStart"/>
      <w:r w:rsidRPr="00A9055F">
        <w:rPr>
          <w:rFonts w:eastAsia="Times New Roman" w:cstheme="minorHAnsi"/>
          <w:color w:val="0E101A"/>
          <w:sz w:val="24"/>
          <w:szCs w:val="24"/>
        </w:rPr>
        <w:t>Karapınar</w:t>
      </w:r>
      <w:proofErr w:type="spellEnd"/>
      <w:r w:rsidRPr="00A9055F">
        <w:rPr>
          <w:rFonts w:eastAsia="Times New Roman" w:cstheme="minorHAnsi"/>
          <w:color w:val="0E101A"/>
          <w:sz w:val="24"/>
          <w:szCs w:val="24"/>
        </w:rPr>
        <w:t xml:space="preserve"> district. The installation and commissioning of 3.5 million panels started in August 2020 and are set to be completed in 2023. When the project is completed, the energy equivalent to the one-week </w:t>
      </w:r>
      <w:proofErr w:type="gramStart"/>
      <w:r w:rsidRPr="00A9055F">
        <w:rPr>
          <w:rFonts w:eastAsia="Times New Roman" w:cstheme="minorHAnsi"/>
          <w:color w:val="0E101A"/>
          <w:sz w:val="24"/>
          <w:szCs w:val="24"/>
        </w:rPr>
        <w:t>need</w:t>
      </w:r>
      <w:proofErr w:type="gramEnd"/>
      <w:r w:rsidRPr="00A9055F">
        <w:rPr>
          <w:rFonts w:eastAsia="Times New Roman" w:cstheme="minorHAnsi"/>
          <w:color w:val="0E101A"/>
          <w:sz w:val="24"/>
          <w:szCs w:val="24"/>
        </w:rPr>
        <w:t xml:space="preserve"> of a city with a population of 50,000 will begin to be produced in just 1 hour. In other words, this facility alone will meet the annual electrical energy needs of approximately 2 million people. In addition, 2 million tons of fossil waste and carbon emissions will be prevented.</w:t>
      </w:r>
    </w:p>
    <w:p w14:paraId="727DB932" w14:textId="77777777" w:rsidR="00A9055F" w:rsidRPr="00A9055F" w:rsidRDefault="00A9055F" w:rsidP="00A9055F">
      <w:pPr>
        <w:spacing w:line="276" w:lineRule="auto"/>
        <w:jc w:val="both"/>
        <w:rPr>
          <w:rFonts w:eastAsia="Times New Roman" w:cstheme="minorHAnsi"/>
          <w:color w:val="0E101A"/>
          <w:sz w:val="24"/>
          <w:szCs w:val="24"/>
        </w:rPr>
      </w:pPr>
    </w:p>
    <w:p w14:paraId="0E505A2F" w14:textId="1885BACE" w:rsidR="00A9055F" w:rsidRPr="00A9055F" w:rsidRDefault="00A9055F" w:rsidP="00A9055F">
      <w:pPr>
        <w:spacing w:line="276" w:lineRule="auto"/>
        <w:jc w:val="both"/>
        <w:rPr>
          <w:rFonts w:eastAsia="Times New Roman" w:cstheme="minorHAnsi"/>
          <w:color w:val="0E101A"/>
          <w:sz w:val="24"/>
          <w:szCs w:val="24"/>
        </w:rPr>
      </w:pPr>
      <w:r w:rsidRPr="00A9055F">
        <w:rPr>
          <w:rFonts w:eastAsia="Times New Roman" w:cstheme="minorHAnsi"/>
          <w:color w:val="0E101A"/>
          <w:sz w:val="24"/>
          <w:szCs w:val="24"/>
          <w:lang w:val="en-AE"/>
        </w:rPr>
        <w:t xml:space="preserve">The acquisition comes as part of IHC's long-term investment strategy in the clean energy sector and </w:t>
      </w:r>
      <w:r w:rsidRPr="00A9055F">
        <w:rPr>
          <w:rFonts w:eastAsia="Times New Roman" w:cstheme="minorHAnsi"/>
          <w:color w:val="0E101A"/>
          <w:sz w:val="24"/>
          <w:szCs w:val="24"/>
          <w:lang w:val="en-US"/>
        </w:rPr>
        <w:t xml:space="preserve">four </w:t>
      </w:r>
      <w:r w:rsidRPr="00A9055F">
        <w:rPr>
          <w:rFonts w:eastAsia="Times New Roman" w:cstheme="minorHAnsi"/>
          <w:color w:val="0E101A"/>
          <w:sz w:val="24"/>
          <w:szCs w:val="24"/>
          <w:lang w:val="en-AE"/>
        </w:rPr>
        <w:t>months after its </w:t>
      </w:r>
      <w:r w:rsidRPr="00A9055F">
        <w:rPr>
          <w:rFonts w:eastAsia="Times New Roman" w:cstheme="minorHAnsi"/>
          <w:b/>
          <w:bCs/>
          <w:color w:val="0E101A"/>
          <w:sz w:val="24"/>
          <w:szCs w:val="24"/>
          <w:lang w:val="en-AE"/>
        </w:rPr>
        <w:t>AED 7.3 billion</w:t>
      </w:r>
      <w:r w:rsidRPr="00A9055F">
        <w:rPr>
          <w:rFonts w:eastAsia="Times New Roman" w:cstheme="minorHAnsi"/>
          <w:color w:val="0E101A"/>
          <w:sz w:val="24"/>
          <w:szCs w:val="24"/>
          <w:lang w:val="en-AE"/>
        </w:rPr>
        <w:t> investment in Indian conglomerate Adani Group- green energy owned companies as the company continue to grow its clean energy portfolio investment and deliver sustainable growth in the energy sector</w:t>
      </w:r>
    </w:p>
    <w:p w14:paraId="548F0879" w14:textId="77777777" w:rsidR="002027E4" w:rsidRPr="00A9055F" w:rsidRDefault="002027E4" w:rsidP="002027E4">
      <w:pPr>
        <w:spacing w:after="0" w:line="276" w:lineRule="auto"/>
        <w:jc w:val="both"/>
        <w:rPr>
          <w:rFonts w:cstheme="minorHAnsi"/>
          <w:sz w:val="24"/>
          <w:szCs w:val="24"/>
        </w:rPr>
      </w:pPr>
    </w:p>
    <w:p w14:paraId="0E44E958" w14:textId="77777777" w:rsidR="002027E4" w:rsidRPr="00A9055F" w:rsidRDefault="002027E4" w:rsidP="002027E4">
      <w:pPr>
        <w:spacing w:after="0" w:line="276" w:lineRule="auto"/>
        <w:jc w:val="both"/>
        <w:rPr>
          <w:rFonts w:cstheme="minorHAnsi"/>
          <w:sz w:val="24"/>
          <w:szCs w:val="24"/>
        </w:rPr>
      </w:pPr>
      <w:r w:rsidRPr="00A9055F">
        <w:rPr>
          <w:rFonts w:cstheme="minorHAnsi"/>
          <w:sz w:val="24"/>
          <w:szCs w:val="24"/>
        </w:rPr>
        <w:t xml:space="preserve"> </w:t>
      </w:r>
    </w:p>
    <w:p w14:paraId="04B89137" w14:textId="77777777" w:rsidR="002027E4" w:rsidRPr="00A9055F" w:rsidRDefault="002027E4" w:rsidP="002027E4">
      <w:pPr>
        <w:spacing w:after="0" w:line="276" w:lineRule="auto"/>
        <w:jc w:val="center"/>
        <w:rPr>
          <w:rFonts w:cstheme="minorHAnsi"/>
          <w:b/>
          <w:bCs/>
          <w:sz w:val="24"/>
          <w:szCs w:val="24"/>
        </w:rPr>
      </w:pPr>
      <w:r w:rsidRPr="00A9055F">
        <w:rPr>
          <w:rFonts w:cstheme="minorHAnsi"/>
          <w:b/>
          <w:bCs/>
          <w:sz w:val="24"/>
          <w:szCs w:val="24"/>
        </w:rPr>
        <w:t>---ENDS---</w:t>
      </w:r>
    </w:p>
    <w:p w14:paraId="37A79FF5" w14:textId="77777777" w:rsidR="002027E4" w:rsidRPr="00A9055F" w:rsidRDefault="002027E4" w:rsidP="002027E4">
      <w:pPr>
        <w:spacing w:after="0" w:line="276" w:lineRule="auto"/>
        <w:jc w:val="both"/>
        <w:rPr>
          <w:rFonts w:cstheme="minorHAnsi"/>
          <w:b/>
          <w:bCs/>
          <w:color w:val="001432" w:themeColor="text1"/>
        </w:rPr>
      </w:pPr>
    </w:p>
    <w:p w14:paraId="38A3FFF1" w14:textId="2BA3E7EC" w:rsidR="002027E4" w:rsidRPr="00A9055F" w:rsidRDefault="002027E4" w:rsidP="002027E4">
      <w:pPr>
        <w:spacing w:after="0" w:line="276" w:lineRule="auto"/>
        <w:jc w:val="both"/>
        <w:rPr>
          <w:rFonts w:cstheme="minorHAnsi"/>
          <w:b/>
          <w:bCs/>
        </w:rPr>
      </w:pPr>
    </w:p>
    <w:p w14:paraId="4A0510E4" w14:textId="3F65D198" w:rsidR="00A9055F" w:rsidRPr="00A9055F" w:rsidRDefault="00A9055F" w:rsidP="002027E4">
      <w:pPr>
        <w:spacing w:after="0" w:line="276" w:lineRule="auto"/>
        <w:jc w:val="both"/>
        <w:rPr>
          <w:rFonts w:cstheme="minorHAnsi"/>
          <w:b/>
          <w:bCs/>
        </w:rPr>
      </w:pPr>
    </w:p>
    <w:p w14:paraId="40269B18" w14:textId="2418D09F" w:rsidR="00A9055F" w:rsidRPr="00A9055F" w:rsidRDefault="00A9055F" w:rsidP="002027E4">
      <w:pPr>
        <w:spacing w:after="0" w:line="276" w:lineRule="auto"/>
        <w:jc w:val="both"/>
        <w:rPr>
          <w:rFonts w:cstheme="minorHAnsi"/>
          <w:b/>
          <w:bCs/>
        </w:rPr>
      </w:pPr>
    </w:p>
    <w:p w14:paraId="670822A0" w14:textId="3E253D2D" w:rsidR="00A9055F" w:rsidRPr="00A9055F" w:rsidRDefault="00A9055F" w:rsidP="002027E4">
      <w:pPr>
        <w:spacing w:after="0" w:line="276" w:lineRule="auto"/>
        <w:jc w:val="both"/>
        <w:rPr>
          <w:rFonts w:cstheme="minorHAnsi"/>
          <w:b/>
          <w:bCs/>
        </w:rPr>
      </w:pPr>
    </w:p>
    <w:p w14:paraId="35A8B426" w14:textId="2413F69D" w:rsidR="00A9055F" w:rsidRPr="00A9055F" w:rsidRDefault="00A9055F" w:rsidP="002027E4">
      <w:pPr>
        <w:spacing w:after="0" w:line="276" w:lineRule="auto"/>
        <w:jc w:val="both"/>
        <w:rPr>
          <w:rFonts w:cstheme="minorHAnsi"/>
          <w:b/>
          <w:bCs/>
        </w:rPr>
      </w:pPr>
    </w:p>
    <w:p w14:paraId="2CE8B296" w14:textId="7617FE41" w:rsidR="00A9055F" w:rsidRPr="00A9055F" w:rsidRDefault="00A9055F" w:rsidP="002027E4">
      <w:pPr>
        <w:spacing w:after="0" w:line="276" w:lineRule="auto"/>
        <w:jc w:val="both"/>
        <w:rPr>
          <w:rFonts w:cstheme="minorHAnsi"/>
          <w:b/>
          <w:bCs/>
        </w:rPr>
      </w:pPr>
    </w:p>
    <w:p w14:paraId="1181F4AF" w14:textId="77777777" w:rsidR="00A9055F" w:rsidRPr="00A9055F" w:rsidRDefault="00A9055F" w:rsidP="002027E4">
      <w:pPr>
        <w:spacing w:after="0" w:line="276" w:lineRule="auto"/>
        <w:jc w:val="both"/>
        <w:rPr>
          <w:rFonts w:eastAsia="Segoe UI Light" w:cstheme="minorHAnsi"/>
          <w:b/>
          <w:bCs/>
          <w:highlight w:val="yellow"/>
        </w:rPr>
      </w:pPr>
    </w:p>
    <w:p w14:paraId="701DF750" w14:textId="77777777" w:rsidR="00A9055F" w:rsidRPr="00A9055F" w:rsidRDefault="00A9055F" w:rsidP="00A9055F">
      <w:pPr>
        <w:spacing w:after="0"/>
        <w:jc w:val="both"/>
        <w:rPr>
          <w:rFonts w:cstheme="minorHAnsi"/>
          <w:sz w:val="24"/>
          <w:szCs w:val="24"/>
          <w:lang w:val="en-US"/>
        </w:rPr>
      </w:pPr>
    </w:p>
    <w:p w14:paraId="48A59FFD" w14:textId="77777777" w:rsidR="00A9055F" w:rsidRPr="00A9055F" w:rsidRDefault="00A9055F" w:rsidP="00A9055F">
      <w:pPr>
        <w:spacing w:after="0"/>
        <w:jc w:val="both"/>
        <w:rPr>
          <w:rFonts w:eastAsia="Segoe UI Light" w:cstheme="minorHAnsi"/>
          <w:b/>
          <w:bCs/>
        </w:rPr>
      </w:pPr>
      <w:r w:rsidRPr="00A9055F">
        <w:rPr>
          <w:rFonts w:eastAsia="Segoe UI Light" w:cstheme="minorHAnsi"/>
          <w:b/>
          <w:bCs/>
        </w:rPr>
        <w:lastRenderedPageBreak/>
        <w:t>About International Holding Company (IHC)</w:t>
      </w:r>
    </w:p>
    <w:p w14:paraId="14F7845B" w14:textId="3C93D1A7" w:rsidR="00A9055F" w:rsidRPr="00A9055F" w:rsidRDefault="00A9055F" w:rsidP="00A9055F">
      <w:pPr>
        <w:spacing w:after="0"/>
        <w:jc w:val="both"/>
        <w:rPr>
          <w:rFonts w:cstheme="minorHAnsi"/>
          <w:lang w:val="en-AE"/>
        </w:rPr>
      </w:pPr>
      <w:r w:rsidRPr="00A9055F">
        <w:rPr>
          <w:rFonts w:cstheme="minorHAnsi"/>
          <w:lang w:val="en-AE"/>
        </w:rPr>
        <w:t xml:space="preserve">IHC was founded in 1998, as part of an initiative to diversify and </w:t>
      </w:r>
      <w:r w:rsidRPr="00A9055F">
        <w:rPr>
          <w:rFonts w:eastAsia="Times New Roman" w:cstheme="minorHAnsi"/>
          <w:lang w:val="en-AE"/>
        </w:rPr>
        <w:t>develop</w:t>
      </w:r>
      <w:r w:rsidRPr="00A9055F">
        <w:rPr>
          <w:rFonts w:cstheme="minorHAnsi"/>
          <w:lang w:val="en-AE"/>
        </w:rPr>
        <w:t xml:space="preserve"> non-oil business sectors in the UAE</w:t>
      </w:r>
      <w:r w:rsidRPr="00A9055F">
        <w:rPr>
          <w:rFonts w:eastAsia="Times New Roman" w:cstheme="minorHAnsi"/>
          <w:lang w:val="en-AE"/>
        </w:rPr>
        <w:t>, and has grown</w:t>
      </w:r>
      <w:r w:rsidRPr="00A9055F">
        <w:rPr>
          <w:rFonts w:cstheme="minorHAnsi"/>
          <w:lang w:val="en-AE"/>
        </w:rPr>
        <w:t xml:space="preserve"> to </w:t>
      </w:r>
      <w:r w:rsidRPr="00A9055F">
        <w:rPr>
          <w:rFonts w:eastAsia="Times New Roman" w:cstheme="minorHAnsi"/>
          <w:lang w:val="en-AE"/>
        </w:rPr>
        <w:t>become</w:t>
      </w:r>
      <w:r w:rsidRPr="00A9055F">
        <w:rPr>
          <w:rFonts w:cstheme="minorHAnsi"/>
          <w:lang w:val="en-AE"/>
        </w:rPr>
        <w:t xml:space="preserve"> the </w:t>
      </w:r>
      <w:r w:rsidRPr="00A9055F">
        <w:rPr>
          <w:rFonts w:eastAsia="Times New Roman" w:cstheme="minorHAnsi"/>
          <w:lang w:val="en-AE"/>
        </w:rPr>
        <w:t>most valuable</w:t>
      </w:r>
      <w:r w:rsidRPr="00A9055F">
        <w:rPr>
          <w:rFonts w:cstheme="minorHAnsi"/>
          <w:lang w:val="en-AE"/>
        </w:rPr>
        <w:t xml:space="preserve"> listed</w:t>
      </w:r>
      <w:r w:rsidRPr="00A9055F">
        <w:rPr>
          <w:rFonts w:eastAsia="Times New Roman" w:cstheme="minorHAnsi"/>
          <w:lang w:val="en-AE"/>
        </w:rPr>
        <w:t xml:space="preserve"> holding company in the Middle East </w:t>
      </w:r>
      <w:r w:rsidRPr="00A9055F">
        <w:rPr>
          <w:rFonts w:eastAsia="Times New Roman" w:cstheme="minorHAnsi"/>
          <w:lang w:val="en-US"/>
        </w:rPr>
        <w:t xml:space="preserve">with a market cap of </w:t>
      </w:r>
      <w:r w:rsidR="00F9633C">
        <w:rPr>
          <w:rFonts w:eastAsia="Times New Roman" w:cstheme="minorHAnsi"/>
          <w:b/>
          <w:bCs/>
          <w:lang w:val="en-US"/>
        </w:rPr>
        <w:t xml:space="preserve">AED </w:t>
      </w:r>
      <w:r w:rsidR="00AA732D">
        <w:rPr>
          <w:rFonts w:eastAsia="Times New Roman" w:cstheme="minorHAnsi"/>
          <w:b/>
          <w:bCs/>
          <w:lang w:val="en-US"/>
        </w:rPr>
        <w:t xml:space="preserve">619 </w:t>
      </w:r>
      <w:r w:rsidRPr="00A9055F">
        <w:rPr>
          <w:rFonts w:eastAsia="Times New Roman" w:cstheme="minorHAnsi"/>
          <w:b/>
          <w:bCs/>
          <w:lang w:val="en-US"/>
        </w:rPr>
        <w:t>billion as of 30 June 2022</w:t>
      </w:r>
      <w:r w:rsidRPr="00A9055F">
        <w:rPr>
          <w:rFonts w:eastAsia="Times New Roman" w:cstheme="minorHAnsi"/>
          <w:b/>
          <w:bCs/>
          <w:lang w:val="en-AE"/>
        </w:rPr>
        <w:t>.</w:t>
      </w:r>
      <w:r w:rsidRPr="00A9055F">
        <w:rPr>
          <w:rFonts w:eastAsia="Times New Roman" w:cstheme="minorHAnsi"/>
          <w:lang w:val="en-AE"/>
        </w:rPr>
        <w:t xml:space="preserve"> The</w:t>
      </w:r>
      <w:r w:rsidRPr="00A9055F">
        <w:rPr>
          <w:rFonts w:cstheme="minorHAnsi"/>
          <w:lang w:val="en-AE"/>
        </w:rPr>
        <w:t xml:space="preserve"> company endeavours to implement sustainability, innovation, and economic diversification initiatives across what is now one of the region’s largest conglomerates. IHC is included in FTSE ADX 15 Index (FADX 15), which represents the top 15 largest and most liquid companies on the ADX.</w:t>
      </w:r>
    </w:p>
    <w:p w14:paraId="769D498F" w14:textId="77777777" w:rsidR="00A9055F" w:rsidRPr="00A9055F" w:rsidRDefault="00A9055F" w:rsidP="00A9055F">
      <w:pPr>
        <w:spacing w:after="0"/>
        <w:jc w:val="both"/>
        <w:rPr>
          <w:rFonts w:eastAsia="Segoe UI Light" w:cstheme="minorHAnsi"/>
        </w:rPr>
      </w:pPr>
    </w:p>
    <w:p w14:paraId="0B1BDD20" w14:textId="77777777" w:rsidR="00A9055F" w:rsidRPr="00A9055F" w:rsidRDefault="00A9055F" w:rsidP="00A9055F">
      <w:pPr>
        <w:spacing w:after="0"/>
        <w:jc w:val="both"/>
        <w:rPr>
          <w:rFonts w:eastAsia="Segoe UI Light" w:cstheme="minorHAnsi"/>
        </w:rPr>
      </w:pPr>
      <w:r w:rsidRPr="00A9055F">
        <w:rPr>
          <w:rFonts w:eastAsia="Segoe UI Light" w:cstheme="minorHAnsi"/>
        </w:rPr>
        <w:t xml:space="preserve">IHC has a clear objective of enhancing its portfolio through acquisitions, strategic investments, and business combinations. Comprising more than 30 entities and </w:t>
      </w:r>
      <w:r w:rsidRPr="00A9055F">
        <w:rPr>
          <w:rFonts w:eastAsia="Times New Roman" w:cstheme="minorHAnsi"/>
          <w:b/>
          <w:bCs/>
          <w:lang w:val="en-US"/>
        </w:rPr>
        <w:t>52,345 employees</w:t>
      </w:r>
      <w:r w:rsidRPr="00A9055F">
        <w:rPr>
          <w:rFonts w:eastAsia="Times New Roman" w:cstheme="minorHAnsi"/>
          <w:lang w:val="en-US"/>
        </w:rPr>
        <w:t>,</w:t>
      </w:r>
      <w:r w:rsidRPr="00A9055F">
        <w:rPr>
          <w:rFonts w:eastAsia="Segoe UI Light" w:cstheme="minorHAnsi"/>
        </w:rPr>
        <w:t xml:space="preserve"> IHC seeks to expand and diversify its holdings across a growing number of sectors, including Real Estate, Agriculture, Healthcare, Food and Beverage, Utilities, Industries, IT and Communications, Retail and Leisure, and Capital.</w:t>
      </w:r>
    </w:p>
    <w:p w14:paraId="46FED6F0" w14:textId="77777777" w:rsidR="00A9055F" w:rsidRPr="00A9055F" w:rsidRDefault="00A9055F" w:rsidP="00A9055F">
      <w:pPr>
        <w:spacing w:after="0"/>
        <w:jc w:val="both"/>
        <w:rPr>
          <w:rFonts w:eastAsia="Segoe UI Light" w:cstheme="minorHAnsi"/>
        </w:rPr>
      </w:pPr>
    </w:p>
    <w:p w14:paraId="39888583" w14:textId="77777777" w:rsidR="00A9055F" w:rsidRPr="00A9055F" w:rsidRDefault="00A9055F" w:rsidP="00A9055F">
      <w:pPr>
        <w:spacing w:after="0"/>
        <w:jc w:val="both"/>
        <w:rPr>
          <w:rFonts w:cstheme="minorHAnsi"/>
        </w:rPr>
      </w:pPr>
      <w:r w:rsidRPr="00A9055F">
        <w:rPr>
          <w:rFonts w:eastAsia="Segoe UI Light" w:cstheme="minorHAnsi"/>
        </w:rPr>
        <w:t>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partners.</w:t>
      </w:r>
    </w:p>
    <w:p w14:paraId="3C9F65F1" w14:textId="77777777" w:rsidR="00A9055F" w:rsidRPr="00A9055F" w:rsidRDefault="00A9055F" w:rsidP="00A9055F">
      <w:pPr>
        <w:spacing w:after="0" w:line="276" w:lineRule="auto"/>
        <w:jc w:val="both"/>
        <w:rPr>
          <w:rFonts w:eastAsia="Segoe UI Light" w:cstheme="minorHAnsi"/>
          <w:b/>
          <w:bCs/>
        </w:rPr>
      </w:pPr>
    </w:p>
    <w:p w14:paraId="49CE23E7" w14:textId="45DCA47F" w:rsidR="00A9055F" w:rsidRPr="00A9055F" w:rsidRDefault="00A9055F" w:rsidP="00A9055F">
      <w:pPr>
        <w:spacing w:after="0" w:line="276" w:lineRule="auto"/>
        <w:jc w:val="both"/>
        <w:rPr>
          <w:rFonts w:eastAsia="Segoe UI Light" w:cstheme="minorHAnsi"/>
          <w:b/>
          <w:bCs/>
        </w:rPr>
      </w:pPr>
      <w:r w:rsidRPr="00A9055F">
        <w:rPr>
          <w:rFonts w:eastAsia="Segoe UI Light" w:cstheme="minorHAnsi"/>
          <w:b/>
          <w:bCs/>
        </w:rPr>
        <w:t xml:space="preserve">About </w:t>
      </w:r>
      <w:proofErr w:type="spellStart"/>
      <w:r w:rsidRPr="00A9055F">
        <w:rPr>
          <w:rFonts w:cstheme="minorHAnsi"/>
          <w:b/>
          <w:bCs/>
        </w:rPr>
        <w:t>Kalyon</w:t>
      </w:r>
      <w:proofErr w:type="spellEnd"/>
      <w:r w:rsidRPr="00A9055F">
        <w:rPr>
          <w:rFonts w:cstheme="minorHAnsi"/>
          <w:b/>
          <w:bCs/>
        </w:rPr>
        <w:t xml:space="preserve"> Holding</w:t>
      </w:r>
      <w:r w:rsidRPr="00A9055F">
        <w:rPr>
          <w:rFonts w:eastAsia="Segoe UI Light" w:cstheme="minorHAnsi"/>
          <w:b/>
          <w:bCs/>
        </w:rPr>
        <w:t>:</w:t>
      </w:r>
    </w:p>
    <w:p w14:paraId="044428C4" w14:textId="77777777" w:rsidR="00A9055F" w:rsidRPr="00A9055F" w:rsidRDefault="00A9055F" w:rsidP="00A9055F">
      <w:pPr>
        <w:spacing w:line="276" w:lineRule="auto"/>
        <w:jc w:val="both"/>
        <w:rPr>
          <w:rFonts w:cstheme="minorHAnsi"/>
        </w:rPr>
      </w:pPr>
      <w:r w:rsidRPr="00A9055F">
        <w:rPr>
          <w:rFonts w:cstheme="minorHAnsi"/>
        </w:rPr>
        <w:t xml:space="preserve">The foundations of </w:t>
      </w:r>
      <w:proofErr w:type="spellStart"/>
      <w:r w:rsidRPr="00A9055F">
        <w:rPr>
          <w:rFonts w:cstheme="minorHAnsi"/>
        </w:rPr>
        <w:t>Kalyon</w:t>
      </w:r>
      <w:proofErr w:type="spellEnd"/>
      <w:r w:rsidRPr="00A9055F">
        <w:rPr>
          <w:rFonts w:cstheme="minorHAnsi"/>
        </w:rPr>
        <w:t xml:space="preserve"> Holding were laid in 1944 when the late Mehmet </w:t>
      </w:r>
      <w:proofErr w:type="spellStart"/>
      <w:r w:rsidRPr="00A9055F">
        <w:rPr>
          <w:rFonts w:cstheme="minorHAnsi"/>
        </w:rPr>
        <w:t>Kalyoncu</w:t>
      </w:r>
      <w:proofErr w:type="spellEnd"/>
      <w:r w:rsidRPr="00A9055F">
        <w:rPr>
          <w:rFonts w:cstheme="minorHAnsi"/>
        </w:rPr>
        <w:t xml:space="preserve"> ventured into construction works. Mr. </w:t>
      </w:r>
      <w:proofErr w:type="spellStart"/>
      <w:r w:rsidRPr="00A9055F">
        <w:rPr>
          <w:rFonts w:cstheme="minorHAnsi"/>
        </w:rPr>
        <w:t>Kalyoncu</w:t>
      </w:r>
      <w:proofErr w:type="spellEnd"/>
      <w:r w:rsidRPr="00A9055F">
        <w:rPr>
          <w:rFonts w:cstheme="minorHAnsi"/>
        </w:rPr>
        <w:t xml:space="preserve"> established </w:t>
      </w:r>
      <w:proofErr w:type="spellStart"/>
      <w:r w:rsidRPr="00A9055F">
        <w:rPr>
          <w:rFonts w:cstheme="minorHAnsi"/>
        </w:rPr>
        <w:t>Kalyon</w:t>
      </w:r>
      <w:proofErr w:type="spellEnd"/>
      <w:r w:rsidRPr="00A9055F">
        <w:rPr>
          <w:rFonts w:cstheme="minorHAnsi"/>
        </w:rPr>
        <w:t xml:space="preserve"> </w:t>
      </w:r>
      <w:proofErr w:type="spellStart"/>
      <w:r w:rsidRPr="00A9055F">
        <w:rPr>
          <w:rFonts w:cstheme="minorHAnsi"/>
        </w:rPr>
        <w:t>İnşaat</w:t>
      </w:r>
      <w:proofErr w:type="spellEnd"/>
      <w:r w:rsidRPr="00A9055F">
        <w:rPr>
          <w:rFonts w:cstheme="minorHAnsi"/>
        </w:rPr>
        <w:t xml:space="preserve"> in 1974, backed by solid principles and strong ideals. </w:t>
      </w:r>
      <w:proofErr w:type="spellStart"/>
      <w:r w:rsidRPr="00A9055F">
        <w:rPr>
          <w:rFonts w:cstheme="minorHAnsi"/>
        </w:rPr>
        <w:t>Kalyon</w:t>
      </w:r>
      <w:proofErr w:type="spellEnd"/>
      <w:r w:rsidRPr="00A9055F">
        <w:rPr>
          <w:rFonts w:cstheme="minorHAnsi"/>
        </w:rPr>
        <w:t xml:space="preserve"> Holding continues its journey as one of the most important players of the Turkish economy with its nearly 35 thousand employees and 78 years of experience in construction, aviation, concessions, real estate, energy, </w:t>
      </w:r>
      <w:proofErr w:type="gramStart"/>
      <w:r w:rsidRPr="00A9055F">
        <w:rPr>
          <w:rFonts w:cstheme="minorHAnsi"/>
        </w:rPr>
        <w:t>industry</w:t>
      </w:r>
      <w:proofErr w:type="gramEnd"/>
      <w:r w:rsidRPr="00A9055F">
        <w:rPr>
          <w:rFonts w:cstheme="minorHAnsi"/>
        </w:rPr>
        <w:t xml:space="preserve"> and venture capital sectors. Accordingly, </w:t>
      </w:r>
      <w:proofErr w:type="spellStart"/>
      <w:r w:rsidRPr="00A9055F">
        <w:rPr>
          <w:rFonts w:cstheme="minorHAnsi"/>
        </w:rPr>
        <w:t>Kalyon</w:t>
      </w:r>
      <w:proofErr w:type="spellEnd"/>
      <w:r w:rsidRPr="00A9055F">
        <w:rPr>
          <w:rFonts w:cstheme="minorHAnsi"/>
        </w:rPr>
        <w:t xml:space="preserve"> Holding supports social development through social services in culture, arts, education, and environment.</w:t>
      </w:r>
    </w:p>
    <w:p w14:paraId="4576C1A4" w14:textId="77777777" w:rsidR="00A9055F" w:rsidRPr="00A9055F" w:rsidRDefault="00A9055F" w:rsidP="00A9055F">
      <w:pPr>
        <w:spacing w:after="0"/>
        <w:jc w:val="both"/>
        <w:rPr>
          <w:rFonts w:cstheme="minorHAnsi"/>
          <w:sz w:val="24"/>
          <w:szCs w:val="24"/>
          <w:lang w:val="en-US"/>
        </w:rPr>
      </w:pPr>
    </w:p>
    <w:p w14:paraId="77EF7C41" w14:textId="77777777" w:rsidR="00A9055F" w:rsidRPr="00A9055F" w:rsidRDefault="00A9055F" w:rsidP="00A9055F">
      <w:pPr>
        <w:spacing w:after="0"/>
        <w:rPr>
          <w:rFonts w:eastAsia="Segoe UI Light" w:cstheme="minorHAnsi"/>
          <w:b/>
          <w:bCs/>
        </w:rPr>
      </w:pPr>
      <w:r w:rsidRPr="00A9055F">
        <w:rPr>
          <w:rFonts w:eastAsia="Segoe UI Light" w:cstheme="minorHAnsi"/>
          <w:b/>
          <w:bCs/>
        </w:rPr>
        <w:t>Media Contacts:</w:t>
      </w:r>
    </w:p>
    <w:p w14:paraId="397EB4FC" w14:textId="77777777" w:rsidR="00A9055F" w:rsidRPr="00A9055F" w:rsidRDefault="00A9055F" w:rsidP="00A9055F">
      <w:pPr>
        <w:spacing w:after="0"/>
        <w:rPr>
          <w:rFonts w:eastAsia="Segoe UI Light" w:cstheme="minorHAnsi"/>
          <w:b/>
          <w:bCs/>
        </w:rPr>
      </w:pPr>
    </w:p>
    <w:p w14:paraId="4CF20CA0" w14:textId="77777777" w:rsidR="00A9055F" w:rsidRPr="00A9055F" w:rsidRDefault="00A9055F" w:rsidP="00A9055F">
      <w:pPr>
        <w:spacing w:after="0"/>
        <w:jc w:val="both"/>
        <w:rPr>
          <w:rFonts w:eastAsia="Segoe UI Light" w:cstheme="minorHAnsi"/>
          <w:b/>
          <w:bCs/>
        </w:rPr>
      </w:pPr>
      <w:r w:rsidRPr="00A9055F">
        <w:rPr>
          <w:rFonts w:eastAsia="Segoe UI Light" w:cstheme="minorHAnsi"/>
          <w:b/>
          <w:bCs/>
        </w:rPr>
        <w:t xml:space="preserve">Ahmad Ibrahim </w:t>
      </w:r>
    </w:p>
    <w:p w14:paraId="7CDB313C" w14:textId="77777777" w:rsidR="00A9055F" w:rsidRPr="00A9055F" w:rsidRDefault="00A9055F" w:rsidP="00A9055F">
      <w:pPr>
        <w:spacing w:after="0"/>
        <w:jc w:val="both"/>
        <w:rPr>
          <w:rFonts w:eastAsia="Segoe UI Light" w:cstheme="minorHAnsi"/>
        </w:rPr>
      </w:pPr>
      <w:r w:rsidRPr="00A9055F">
        <w:rPr>
          <w:rFonts w:eastAsia="Segoe UI Light" w:cstheme="minorHAnsi"/>
          <w:color w:val="001432" w:themeColor="text1"/>
        </w:rPr>
        <w:t xml:space="preserve">Head of Marketing and Corporate Communication </w:t>
      </w:r>
    </w:p>
    <w:p w14:paraId="7FFCC633" w14:textId="77777777" w:rsidR="00A9055F" w:rsidRPr="00A9055F" w:rsidRDefault="00A9055F" w:rsidP="00A9055F">
      <w:pPr>
        <w:spacing w:after="0"/>
        <w:jc w:val="both"/>
        <w:rPr>
          <w:rFonts w:eastAsia="Segoe UI Light" w:cstheme="minorHAnsi"/>
        </w:rPr>
      </w:pPr>
      <w:r w:rsidRPr="00A9055F">
        <w:rPr>
          <w:rFonts w:eastAsia="Segoe UI Light" w:cstheme="minorHAnsi"/>
        </w:rPr>
        <w:t xml:space="preserve">International Holding Company </w:t>
      </w:r>
    </w:p>
    <w:p w14:paraId="1F4C9907" w14:textId="77777777" w:rsidR="00A9055F" w:rsidRPr="00A9055F" w:rsidRDefault="00EA0D2B" w:rsidP="00A9055F">
      <w:pPr>
        <w:spacing w:line="276" w:lineRule="auto"/>
        <w:jc w:val="both"/>
        <w:rPr>
          <w:rFonts w:eastAsia="Segoe UI Light" w:cstheme="minorHAnsi"/>
          <w:lang w:val="en-US"/>
        </w:rPr>
      </w:pPr>
      <w:hyperlink r:id="rId11" w:history="1">
        <w:r w:rsidR="00A9055F" w:rsidRPr="00A9055F">
          <w:rPr>
            <w:rStyle w:val="Hyperlink"/>
            <w:rFonts w:eastAsia="Segoe UI Light" w:cstheme="minorHAnsi"/>
            <w:color w:val="auto"/>
          </w:rPr>
          <w:t>ahmad.ibrahim@ihcuae.com</w:t>
        </w:r>
      </w:hyperlink>
    </w:p>
    <w:p w14:paraId="589756D1" w14:textId="77777777" w:rsidR="00A9055F" w:rsidRPr="00A9055F" w:rsidRDefault="00A9055F" w:rsidP="00A9055F">
      <w:pPr>
        <w:spacing w:after="0"/>
        <w:jc w:val="both"/>
        <w:rPr>
          <w:rFonts w:cstheme="minorHAnsi"/>
          <w:b/>
          <w:bCs/>
        </w:rPr>
      </w:pPr>
    </w:p>
    <w:p w14:paraId="40EA6F62" w14:textId="77777777" w:rsidR="00A9055F" w:rsidRPr="00A9055F" w:rsidRDefault="00A9055F" w:rsidP="00A9055F">
      <w:pPr>
        <w:spacing w:after="0"/>
        <w:jc w:val="both"/>
        <w:rPr>
          <w:rFonts w:cstheme="minorHAnsi"/>
          <w:b/>
          <w:bCs/>
        </w:rPr>
      </w:pPr>
      <w:r w:rsidRPr="00A9055F">
        <w:rPr>
          <w:rFonts w:cstheme="minorHAnsi"/>
          <w:b/>
          <w:bCs/>
        </w:rPr>
        <w:t>Gemma Sexton</w:t>
      </w:r>
    </w:p>
    <w:p w14:paraId="7CBFEC2C" w14:textId="77777777" w:rsidR="00A9055F" w:rsidRPr="00A9055F" w:rsidRDefault="00A9055F" w:rsidP="00A9055F">
      <w:pPr>
        <w:spacing w:after="0"/>
        <w:jc w:val="both"/>
        <w:rPr>
          <w:rFonts w:cstheme="minorHAnsi"/>
        </w:rPr>
      </w:pPr>
      <w:r w:rsidRPr="00A9055F">
        <w:rPr>
          <w:rFonts w:cstheme="minorHAnsi"/>
        </w:rPr>
        <w:t>Corporate Communications Manager</w:t>
      </w:r>
    </w:p>
    <w:p w14:paraId="69D45190" w14:textId="77777777" w:rsidR="00A9055F" w:rsidRPr="00A9055F" w:rsidRDefault="00A9055F" w:rsidP="00A9055F">
      <w:pPr>
        <w:spacing w:after="0"/>
        <w:jc w:val="both"/>
        <w:rPr>
          <w:rFonts w:cstheme="minorHAnsi"/>
        </w:rPr>
      </w:pPr>
      <w:r w:rsidRPr="00A9055F">
        <w:rPr>
          <w:rFonts w:cstheme="minorHAnsi"/>
        </w:rPr>
        <w:t xml:space="preserve">International Holding Company </w:t>
      </w:r>
    </w:p>
    <w:p w14:paraId="1149EBA4" w14:textId="77777777" w:rsidR="00A9055F" w:rsidRPr="00A9055F" w:rsidRDefault="00EA0D2B" w:rsidP="00A9055F">
      <w:pPr>
        <w:spacing w:line="276" w:lineRule="auto"/>
        <w:jc w:val="both"/>
        <w:rPr>
          <w:rFonts w:cstheme="minorHAnsi"/>
          <w:u w:val="single"/>
        </w:rPr>
      </w:pPr>
      <w:hyperlink r:id="rId12" w:history="1">
        <w:r w:rsidR="00A9055F" w:rsidRPr="00A9055F">
          <w:rPr>
            <w:rStyle w:val="Hyperlink"/>
            <w:rFonts w:cstheme="minorHAnsi"/>
            <w:color w:val="auto"/>
          </w:rPr>
          <w:t>gemma.sexton@ihcuae.com</w:t>
        </w:r>
      </w:hyperlink>
    </w:p>
    <w:p w14:paraId="1DD42F0E" w14:textId="77777777" w:rsidR="00A9055F" w:rsidRDefault="00A9055F" w:rsidP="002027E4">
      <w:pPr>
        <w:spacing w:line="276" w:lineRule="auto"/>
        <w:jc w:val="both"/>
        <w:rPr>
          <w:rFonts w:ascii="Calibri" w:hAnsi="Calibri" w:cs="Calibri"/>
        </w:rPr>
      </w:pPr>
    </w:p>
    <w:bookmarkEnd w:id="0"/>
    <w:p w14:paraId="785894C2" w14:textId="77777777" w:rsidR="002027E4" w:rsidRPr="00225F6A" w:rsidRDefault="002027E4" w:rsidP="002027E4">
      <w:pPr>
        <w:spacing w:after="0" w:line="276" w:lineRule="auto"/>
        <w:jc w:val="both"/>
        <w:rPr>
          <w:rFonts w:ascii="Calibri" w:hAnsi="Calibri" w:cs="Calibri"/>
        </w:rPr>
      </w:pPr>
    </w:p>
    <w:sectPr w:rsidR="002027E4" w:rsidRPr="00225F6A" w:rsidSect="00084C98">
      <w:headerReference w:type="default" r:id="rId13"/>
      <w:footerReference w:type="default" r:id="rId14"/>
      <w:headerReference w:type="first" r:id="rId15"/>
      <w:footerReference w:type="first" r:id="rId16"/>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3A3E" w14:textId="77777777" w:rsidR="00EA0D2B" w:rsidRDefault="00EA0D2B" w:rsidP="00902929">
      <w:r>
        <w:separator/>
      </w:r>
    </w:p>
  </w:endnote>
  <w:endnote w:type="continuationSeparator" w:id="0">
    <w:p w14:paraId="61F3EA6F" w14:textId="77777777" w:rsidR="00EA0D2B" w:rsidRDefault="00EA0D2B"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A4AD" w14:textId="610FE3F6" w:rsidR="00DE28BC" w:rsidRPr="00353DBF" w:rsidRDefault="00EA0D2B"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206A" w14:textId="04AC8952" w:rsidR="006D30B5" w:rsidRPr="00D21B39" w:rsidRDefault="00EA0D2B"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6B75" w14:textId="77777777" w:rsidR="00EA0D2B" w:rsidRDefault="00EA0D2B" w:rsidP="00902929">
      <w:r>
        <w:separator/>
      </w:r>
    </w:p>
  </w:footnote>
  <w:footnote w:type="continuationSeparator" w:id="0">
    <w:p w14:paraId="29D6CF62" w14:textId="77777777" w:rsidR="00EA0D2B" w:rsidRDefault="00EA0D2B"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036D" w14:textId="1DA2D507" w:rsidR="004C182C" w:rsidRDefault="004C182C" w:rsidP="004C182C">
    <w:pPr>
      <w:spacing w:after="0"/>
      <w:jc w:val="right"/>
      <w:rPr>
        <w:sz w:val="28"/>
        <w:szCs w:val="28"/>
      </w:rPr>
    </w:pPr>
    <w:r>
      <w:rPr>
        <w:noProof/>
        <w:lang w:val="en-US"/>
      </w:rPr>
      <w:drawing>
        <wp:anchor distT="0" distB="0" distL="114300" distR="114300" simplePos="0" relativeHeight="251660288" behindDoc="1" locked="0" layoutInCell="1" allowOverlap="1" wp14:anchorId="541490C6" wp14:editId="75F413DD">
          <wp:simplePos x="0" y="0"/>
          <wp:positionH relativeFrom="column">
            <wp:posOffset>0</wp:posOffset>
          </wp:positionH>
          <wp:positionV relativeFrom="paragraph">
            <wp:posOffset>-73912</wp:posOffset>
          </wp:positionV>
          <wp:extent cx="861545" cy="1006572"/>
          <wp:effectExtent l="0" t="0" r="2540" b="0"/>
          <wp:wrapTight wrapText="bothSides">
            <wp:wrapPolygon edited="0">
              <wp:start x="7646" y="0"/>
              <wp:lineTo x="5735" y="273"/>
              <wp:lineTo x="637" y="3543"/>
              <wp:lineTo x="0" y="5996"/>
              <wp:lineTo x="0" y="21259"/>
              <wp:lineTo x="1593" y="21259"/>
              <wp:lineTo x="15611" y="21259"/>
              <wp:lineTo x="18159" y="21259"/>
              <wp:lineTo x="18478" y="20169"/>
              <wp:lineTo x="17204" y="17444"/>
              <wp:lineTo x="21345" y="13083"/>
              <wp:lineTo x="21345" y="6541"/>
              <wp:lineTo x="20389" y="3816"/>
              <wp:lineTo x="15292" y="273"/>
              <wp:lineTo x="13381" y="0"/>
              <wp:lineTo x="7646"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545" cy="1006572"/>
                  </a:xfrm>
                  <a:prstGeom prst="rect">
                    <a:avLst/>
                  </a:prstGeom>
                  <a:noFill/>
                </pic:spPr>
              </pic:pic>
            </a:graphicData>
          </a:graphic>
          <wp14:sizeRelH relativeFrom="page">
            <wp14:pctWidth>0</wp14:pctWidth>
          </wp14:sizeRelH>
          <wp14:sizeRelV relativeFrom="page">
            <wp14:pctHeight>0</wp14:pctHeight>
          </wp14:sizeRelV>
        </wp:anchor>
      </w:drawing>
    </w:r>
  </w:p>
  <w:p w14:paraId="04B5E207" w14:textId="540B503C" w:rsidR="004C182C" w:rsidRDefault="004C182C" w:rsidP="004C182C">
    <w:pPr>
      <w:spacing w:after="0"/>
      <w:jc w:val="right"/>
      <w:rPr>
        <w:sz w:val="28"/>
        <w:szCs w:val="28"/>
      </w:rPr>
    </w:pPr>
  </w:p>
  <w:p w14:paraId="4959BEDD" w14:textId="3B779AE8" w:rsidR="004C182C" w:rsidRPr="00362A9C" w:rsidRDefault="004C182C" w:rsidP="004C182C">
    <w:pPr>
      <w:spacing w:after="0"/>
      <w:jc w:val="right"/>
      <w:rPr>
        <w:sz w:val="28"/>
        <w:szCs w:val="28"/>
      </w:rPr>
    </w:pPr>
    <w:r w:rsidRPr="00E103D0">
      <w:rPr>
        <w:sz w:val="28"/>
        <w:szCs w:val="28"/>
      </w:rPr>
      <w:t>PRESS RELEASE</w:t>
    </w:r>
  </w:p>
  <w:p w14:paraId="127D2404" w14:textId="0C2FB797" w:rsidR="005A79FE" w:rsidRDefault="005A7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6C82" w14:textId="27099616" w:rsidR="009E3A37" w:rsidRDefault="00343EA7" w:rsidP="00A4291C">
    <w:pPr>
      <w:jc w:val="right"/>
      <w:rPr>
        <w:sz w:val="28"/>
        <w:szCs w:val="28"/>
      </w:rPr>
    </w:pPr>
    <w:r>
      <w:rPr>
        <w:noProof/>
        <w:lang w:val="en-US"/>
      </w:rPr>
      <w:drawing>
        <wp:anchor distT="0" distB="0" distL="114300" distR="114300" simplePos="0" relativeHeight="251662336" behindDoc="0" locked="0" layoutInCell="1" allowOverlap="1" wp14:anchorId="482D7B7D" wp14:editId="2EB16002">
          <wp:simplePos x="0" y="0"/>
          <wp:positionH relativeFrom="column">
            <wp:posOffset>4743450</wp:posOffset>
          </wp:positionH>
          <wp:positionV relativeFrom="paragraph">
            <wp:posOffset>133350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69"/>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37341A03" w14:textId="77777777" w:rsidR="00893E7F" w:rsidRDefault="00893E7F" w:rsidP="002953E3">
    <w:pPr>
      <w:spacing w:after="0"/>
      <w:jc w:val="right"/>
      <w:rPr>
        <w:sz w:val="28"/>
        <w:szCs w:val="28"/>
      </w:rPr>
    </w:pPr>
  </w:p>
  <w:p w14:paraId="1C64CDC6" w14:textId="79481FE0" w:rsidR="00893E7F" w:rsidRDefault="00893E7F" w:rsidP="002953E3">
    <w:pPr>
      <w:spacing w:after="0"/>
      <w:jc w:val="right"/>
      <w:rPr>
        <w:sz w:val="28"/>
        <w:szCs w:val="28"/>
      </w:rPr>
    </w:pPr>
  </w:p>
  <w:p w14:paraId="5EFBD314" w14:textId="77777777" w:rsidR="00893E7F" w:rsidRDefault="00893E7F" w:rsidP="002953E3">
    <w:pPr>
      <w:spacing w:after="0"/>
      <w:jc w:val="right"/>
      <w:rPr>
        <w:sz w:val="28"/>
        <w:szCs w:val="28"/>
      </w:rPr>
    </w:pPr>
  </w:p>
  <w:p w14:paraId="3DDA4F6F" w14:textId="2C37B0D7" w:rsidR="00EB56B2" w:rsidRPr="00893E7F" w:rsidRDefault="00893E7F" w:rsidP="002953E3">
    <w:pPr>
      <w:spacing w:after="0"/>
      <w:jc w:val="right"/>
      <w:rPr>
        <w:sz w:val="28"/>
        <w:szCs w:val="28"/>
      </w:rPr>
    </w:pPr>
    <w:r w:rsidRPr="00893E7F">
      <w:rPr>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86AF7"/>
    <w:multiLevelType w:val="hybridMultilevel"/>
    <w:tmpl w:val="6118553A"/>
    <w:lvl w:ilvl="0" w:tplc="820809BA">
      <w:start w:val="5"/>
      <w:numFmt w:val="bullet"/>
      <w:lvlText w:val="-"/>
      <w:lvlJc w:val="left"/>
      <w:pPr>
        <w:ind w:left="720" w:hanging="360"/>
      </w:pPr>
      <w:rPr>
        <w:rFonts w:ascii="Segoe UI Light" w:eastAsia="Times New Roman" w:hAnsi="Segoe UI Light"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46B1E"/>
    <w:multiLevelType w:val="hybridMultilevel"/>
    <w:tmpl w:val="6E3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E7362"/>
    <w:multiLevelType w:val="hybridMultilevel"/>
    <w:tmpl w:val="9B768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9233165">
    <w:abstractNumId w:val="3"/>
  </w:num>
  <w:num w:numId="2" w16cid:durableId="1649170062">
    <w:abstractNumId w:val="5"/>
  </w:num>
  <w:num w:numId="3" w16cid:durableId="250629899">
    <w:abstractNumId w:val="6"/>
  </w:num>
  <w:num w:numId="4" w16cid:durableId="1358585613">
    <w:abstractNumId w:val="0"/>
  </w:num>
  <w:num w:numId="5" w16cid:durableId="831024006">
    <w:abstractNumId w:val="4"/>
  </w:num>
  <w:num w:numId="6" w16cid:durableId="1867793583">
    <w:abstractNumId w:val="1"/>
  </w:num>
  <w:num w:numId="7" w16cid:durableId="79321339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23FD"/>
    <w:rsid w:val="00006F90"/>
    <w:rsid w:val="0001197D"/>
    <w:rsid w:val="00013B08"/>
    <w:rsid w:val="000142E8"/>
    <w:rsid w:val="00024D99"/>
    <w:rsid w:val="00025AF8"/>
    <w:rsid w:val="00026A2A"/>
    <w:rsid w:val="00030C35"/>
    <w:rsid w:val="000327B7"/>
    <w:rsid w:val="00032AA5"/>
    <w:rsid w:val="0003539E"/>
    <w:rsid w:val="00036CE6"/>
    <w:rsid w:val="000401E8"/>
    <w:rsid w:val="0004131A"/>
    <w:rsid w:val="00041A8B"/>
    <w:rsid w:val="000452BD"/>
    <w:rsid w:val="0004614C"/>
    <w:rsid w:val="00046B03"/>
    <w:rsid w:val="0004780F"/>
    <w:rsid w:val="000520EE"/>
    <w:rsid w:val="00052B6B"/>
    <w:rsid w:val="00054202"/>
    <w:rsid w:val="00060862"/>
    <w:rsid w:val="000662D1"/>
    <w:rsid w:val="0006686B"/>
    <w:rsid w:val="000724A1"/>
    <w:rsid w:val="000729DD"/>
    <w:rsid w:val="00077544"/>
    <w:rsid w:val="00082705"/>
    <w:rsid w:val="0008350A"/>
    <w:rsid w:val="00084C98"/>
    <w:rsid w:val="00085423"/>
    <w:rsid w:val="00092828"/>
    <w:rsid w:val="00094DEA"/>
    <w:rsid w:val="00097052"/>
    <w:rsid w:val="000A2861"/>
    <w:rsid w:val="000A3DB2"/>
    <w:rsid w:val="000A4EE0"/>
    <w:rsid w:val="000A5E9B"/>
    <w:rsid w:val="000A6360"/>
    <w:rsid w:val="000B7797"/>
    <w:rsid w:val="000B7CB2"/>
    <w:rsid w:val="000C48E0"/>
    <w:rsid w:val="000C598C"/>
    <w:rsid w:val="000D17F4"/>
    <w:rsid w:val="000D2A5C"/>
    <w:rsid w:val="000D5564"/>
    <w:rsid w:val="000D5618"/>
    <w:rsid w:val="000D5F30"/>
    <w:rsid w:val="000D7A21"/>
    <w:rsid w:val="000E407D"/>
    <w:rsid w:val="000E47AD"/>
    <w:rsid w:val="000E6092"/>
    <w:rsid w:val="000E6129"/>
    <w:rsid w:val="000E6238"/>
    <w:rsid w:val="000F0B77"/>
    <w:rsid w:val="000F0BA8"/>
    <w:rsid w:val="000F0DB5"/>
    <w:rsid w:val="000F37D5"/>
    <w:rsid w:val="000F3D4C"/>
    <w:rsid w:val="001000D6"/>
    <w:rsid w:val="00102B72"/>
    <w:rsid w:val="00102D54"/>
    <w:rsid w:val="00103289"/>
    <w:rsid w:val="001058EE"/>
    <w:rsid w:val="00117895"/>
    <w:rsid w:val="00126841"/>
    <w:rsid w:val="0013090E"/>
    <w:rsid w:val="00131AA0"/>
    <w:rsid w:val="00144F6A"/>
    <w:rsid w:val="001450E9"/>
    <w:rsid w:val="001505CA"/>
    <w:rsid w:val="00152837"/>
    <w:rsid w:val="00153E03"/>
    <w:rsid w:val="00154B3F"/>
    <w:rsid w:val="00156FF6"/>
    <w:rsid w:val="001572E0"/>
    <w:rsid w:val="00157303"/>
    <w:rsid w:val="00160270"/>
    <w:rsid w:val="0016112A"/>
    <w:rsid w:val="00162E4E"/>
    <w:rsid w:val="001642C0"/>
    <w:rsid w:val="0016436A"/>
    <w:rsid w:val="001665A8"/>
    <w:rsid w:val="00166FB1"/>
    <w:rsid w:val="00170F51"/>
    <w:rsid w:val="00172139"/>
    <w:rsid w:val="00182E1E"/>
    <w:rsid w:val="00186FB7"/>
    <w:rsid w:val="001875C9"/>
    <w:rsid w:val="001903B5"/>
    <w:rsid w:val="00192ABC"/>
    <w:rsid w:val="001943AE"/>
    <w:rsid w:val="00195A52"/>
    <w:rsid w:val="0019625A"/>
    <w:rsid w:val="001B1308"/>
    <w:rsid w:val="001B29E3"/>
    <w:rsid w:val="001B6330"/>
    <w:rsid w:val="001B661E"/>
    <w:rsid w:val="001B6958"/>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27E4"/>
    <w:rsid w:val="0020386E"/>
    <w:rsid w:val="002076F5"/>
    <w:rsid w:val="00207B1D"/>
    <w:rsid w:val="002122BC"/>
    <w:rsid w:val="002123C2"/>
    <w:rsid w:val="00212B3A"/>
    <w:rsid w:val="00212B6D"/>
    <w:rsid w:val="0021617B"/>
    <w:rsid w:val="00217EF2"/>
    <w:rsid w:val="002200BA"/>
    <w:rsid w:val="00220612"/>
    <w:rsid w:val="002222D5"/>
    <w:rsid w:val="00225D01"/>
    <w:rsid w:val="00226726"/>
    <w:rsid w:val="00235E10"/>
    <w:rsid w:val="00235F7A"/>
    <w:rsid w:val="00236765"/>
    <w:rsid w:val="00236F61"/>
    <w:rsid w:val="002415B4"/>
    <w:rsid w:val="00250481"/>
    <w:rsid w:val="002521D3"/>
    <w:rsid w:val="00252460"/>
    <w:rsid w:val="00253A26"/>
    <w:rsid w:val="00253DCA"/>
    <w:rsid w:val="002542EB"/>
    <w:rsid w:val="00260D0B"/>
    <w:rsid w:val="00262E46"/>
    <w:rsid w:val="002654E7"/>
    <w:rsid w:val="00267905"/>
    <w:rsid w:val="00270195"/>
    <w:rsid w:val="002701D8"/>
    <w:rsid w:val="00270AC6"/>
    <w:rsid w:val="00270EEC"/>
    <w:rsid w:val="00274A0A"/>
    <w:rsid w:val="00275FFA"/>
    <w:rsid w:val="00276262"/>
    <w:rsid w:val="00276A66"/>
    <w:rsid w:val="002778BB"/>
    <w:rsid w:val="00283962"/>
    <w:rsid w:val="00283A50"/>
    <w:rsid w:val="00284DDD"/>
    <w:rsid w:val="00285C81"/>
    <w:rsid w:val="00286D25"/>
    <w:rsid w:val="002877CB"/>
    <w:rsid w:val="00292319"/>
    <w:rsid w:val="002931EF"/>
    <w:rsid w:val="00294C06"/>
    <w:rsid w:val="002953E3"/>
    <w:rsid w:val="002971AD"/>
    <w:rsid w:val="00297467"/>
    <w:rsid w:val="002A3CC2"/>
    <w:rsid w:val="002A55E2"/>
    <w:rsid w:val="002A580E"/>
    <w:rsid w:val="002A6716"/>
    <w:rsid w:val="002B0560"/>
    <w:rsid w:val="002B0E4C"/>
    <w:rsid w:val="002B34E2"/>
    <w:rsid w:val="002B3756"/>
    <w:rsid w:val="002B3B10"/>
    <w:rsid w:val="002B435A"/>
    <w:rsid w:val="002B500B"/>
    <w:rsid w:val="002C005F"/>
    <w:rsid w:val="002C1418"/>
    <w:rsid w:val="002C5A5E"/>
    <w:rsid w:val="002C6CF0"/>
    <w:rsid w:val="002C6E61"/>
    <w:rsid w:val="002D288D"/>
    <w:rsid w:val="002E0BA1"/>
    <w:rsid w:val="002E3419"/>
    <w:rsid w:val="002E4322"/>
    <w:rsid w:val="002E56FC"/>
    <w:rsid w:val="002E6BA7"/>
    <w:rsid w:val="002F1576"/>
    <w:rsid w:val="002F2072"/>
    <w:rsid w:val="002F3301"/>
    <w:rsid w:val="002F344F"/>
    <w:rsid w:val="002F361D"/>
    <w:rsid w:val="002F4744"/>
    <w:rsid w:val="002F77D1"/>
    <w:rsid w:val="0030003E"/>
    <w:rsid w:val="003072EB"/>
    <w:rsid w:val="00311E09"/>
    <w:rsid w:val="00315AD6"/>
    <w:rsid w:val="0031740E"/>
    <w:rsid w:val="00317CD6"/>
    <w:rsid w:val="003201CA"/>
    <w:rsid w:val="0032115F"/>
    <w:rsid w:val="00321C35"/>
    <w:rsid w:val="00324C2F"/>
    <w:rsid w:val="003274F5"/>
    <w:rsid w:val="00332013"/>
    <w:rsid w:val="00332615"/>
    <w:rsid w:val="00340282"/>
    <w:rsid w:val="00340BA1"/>
    <w:rsid w:val="003410D1"/>
    <w:rsid w:val="00341ED1"/>
    <w:rsid w:val="003438AD"/>
    <w:rsid w:val="00343A32"/>
    <w:rsid w:val="00343EA7"/>
    <w:rsid w:val="00344DE1"/>
    <w:rsid w:val="00345DF9"/>
    <w:rsid w:val="00345F64"/>
    <w:rsid w:val="0034771F"/>
    <w:rsid w:val="003528CB"/>
    <w:rsid w:val="00353DBF"/>
    <w:rsid w:val="003577BF"/>
    <w:rsid w:val="00360B03"/>
    <w:rsid w:val="003619C0"/>
    <w:rsid w:val="00362A9C"/>
    <w:rsid w:val="00364DF0"/>
    <w:rsid w:val="00370A2C"/>
    <w:rsid w:val="00373E8B"/>
    <w:rsid w:val="00376001"/>
    <w:rsid w:val="0037775C"/>
    <w:rsid w:val="00382059"/>
    <w:rsid w:val="00382544"/>
    <w:rsid w:val="00382BB1"/>
    <w:rsid w:val="00384964"/>
    <w:rsid w:val="00387131"/>
    <w:rsid w:val="00390780"/>
    <w:rsid w:val="0039478F"/>
    <w:rsid w:val="003A07A6"/>
    <w:rsid w:val="003A6C61"/>
    <w:rsid w:val="003A707E"/>
    <w:rsid w:val="003A78D1"/>
    <w:rsid w:val="003B448F"/>
    <w:rsid w:val="003B535E"/>
    <w:rsid w:val="003B6F6C"/>
    <w:rsid w:val="003B7E20"/>
    <w:rsid w:val="003C0FF7"/>
    <w:rsid w:val="003C45FE"/>
    <w:rsid w:val="003C59C7"/>
    <w:rsid w:val="003C61A3"/>
    <w:rsid w:val="003D276E"/>
    <w:rsid w:val="003D54BE"/>
    <w:rsid w:val="003D6427"/>
    <w:rsid w:val="003E00E9"/>
    <w:rsid w:val="003E1172"/>
    <w:rsid w:val="003E36E0"/>
    <w:rsid w:val="003E38A7"/>
    <w:rsid w:val="003E6AA9"/>
    <w:rsid w:val="003E6D51"/>
    <w:rsid w:val="003E7AF5"/>
    <w:rsid w:val="003F3C6C"/>
    <w:rsid w:val="003F59C5"/>
    <w:rsid w:val="003F5F64"/>
    <w:rsid w:val="003F7ED1"/>
    <w:rsid w:val="00400332"/>
    <w:rsid w:val="0040037A"/>
    <w:rsid w:val="004076CD"/>
    <w:rsid w:val="00410AC1"/>
    <w:rsid w:val="00410C84"/>
    <w:rsid w:val="00410E02"/>
    <w:rsid w:val="00414920"/>
    <w:rsid w:val="00422F83"/>
    <w:rsid w:val="00424531"/>
    <w:rsid w:val="004246F4"/>
    <w:rsid w:val="00430826"/>
    <w:rsid w:val="004357AF"/>
    <w:rsid w:val="00442CB8"/>
    <w:rsid w:val="00444E06"/>
    <w:rsid w:val="0044564D"/>
    <w:rsid w:val="00446364"/>
    <w:rsid w:val="00451407"/>
    <w:rsid w:val="004526E6"/>
    <w:rsid w:val="00452EA0"/>
    <w:rsid w:val="00453D67"/>
    <w:rsid w:val="00455CAD"/>
    <w:rsid w:val="00457995"/>
    <w:rsid w:val="004610F6"/>
    <w:rsid w:val="00465971"/>
    <w:rsid w:val="00471DEB"/>
    <w:rsid w:val="00472CD7"/>
    <w:rsid w:val="00476CF8"/>
    <w:rsid w:val="00480329"/>
    <w:rsid w:val="004851E1"/>
    <w:rsid w:val="004858FC"/>
    <w:rsid w:val="00486423"/>
    <w:rsid w:val="00486C51"/>
    <w:rsid w:val="00495246"/>
    <w:rsid w:val="00497485"/>
    <w:rsid w:val="004A02B8"/>
    <w:rsid w:val="004A0466"/>
    <w:rsid w:val="004A176B"/>
    <w:rsid w:val="004A32B7"/>
    <w:rsid w:val="004A4491"/>
    <w:rsid w:val="004A479B"/>
    <w:rsid w:val="004A5B3E"/>
    <w:rsid w:val="004C182C"/>
    <w:rsid w:val="004C2235"/>
    <w:rsid w:val="004C32D8"/>
    <w:rsid w:val="004C7C01"/>
    <w:rsid w:val="004D2FE2"/>
    <w:rsid w:val="004D4968"/>
    <w:rsid w:val="004D4B12"/>
    <w:rsid w:val="004D5B5E"/>
    <w:rsid w:val="004D7DA9"/>
    <w:rsid w:val="004E58C7"/>
    <w:rsid w:val="004E7A7D"/>
    <w:rsid w:val="004F276F"/>
    <w:rsid w:val="004F29BE"/>
    <w:rsid w:val="004F7F7D"/>
    <w:rsid w:val="00503E11"/>
    <w:rsid w:val="005050EC"/>
    <w:rsid w:val="00507CC5"/>
    <w:rsid w:val="00513AD5"/>
    <w:rsid w:val="00516C43"/>
    <w:rsid w:val="00520D5E"/>
    <w:rsid w:val="00521A94"/>
    <w:rsid w:val="00524FDC"/>
    <w:rsid w:val="00530FEE"/>
    <w:rsid w:val="005331AE"/>
    <w:rsid w:val="005332AD"/>
    <w:rsid w:val="005338EE"/>
    <w:rsid w:val="00533FFC"/>
    <w:rsid w:val="00537D31"/>
    <w:rsid w:val="00540B3F"/>
    <w:rsid w:val="00543EB4"/>
    <w:rsid w:val="00545372"/>
    <w:rsid w:val="00547533"/>
    <w:rsid w:val="00550F65"/>
    <w:rsid w:val="00554175"/>
    <w:rsid w:val="00562C06"/>
    <w:rsid w:val="00562DFC"/>
    <w:rsid w:val="00565E95"/>
    <w:rsid w:val="00574647"/>
    <w:rsid w:val="00574B33"/>
    <w:rsid w:val="00575841"/>
    <w:rsid w:val="0057662D"/>
    <w:rsid w:val="00582FB0"/>
    <w:rsid w:val="00585369"/>
    <w:rsid w:val="00585E86"/>
    <w:rsid w:val="00591E64"/>
    <w:rsid w:val="00597049"/>
    <w:rsid w:val="00597704"/>
    <w:rsid w:val="005A47ED"/>
    <w:rsid w:val="005A611A"/>
    <w:rsid w:val="005A79FE"/>
    <w:rsid w:val="005B27CD"/>
    <w:rsid w:val="005D17D9"/>
    <w:rsid w:val="005D4C39"/>
    <w:rsid w:val="005E0949"/>
    <w:rsid w:val="005E24EC"/>
    <w:rsid w:val="005E5D68"/>
    <w:rsid w:val="005F3DFE"/>
    <w:rsid w:val="005F5362"/>
    <w:rsid w:val="005F64C6"/>
    <w:rsid w:val="0060132E"/>
    <w:rsid w:val="00602117"/>
    <w:rsid w:val="00602895"/>
    <w:rsid w:val="00603AA7"/>
    <w:rsid w:val="006127CF"/>
    <w:rsid w:val="0061325C"/>
    <w:rsid w:val="00614002"/>
    <w:rsid w:val="00614601"/>
    <w:rsid w:val="00614CB2"/>
    <w:rsid w:val="00614E45"/>
    <w:rsid w:val="00615D0F"/>
    <w:rsid w:val="006215FA"/>
    <w:rsid w:val="00622FA3"/>
    <w:rsid w:val="00622FDE"/>
    <w:rsid w:val="006255DB"/>
    <w:rsid w:val="006329F3"/>
    <w:rsid w:val="00633B3B"/>
    <w:rsid w:val="006436CD"/>
    <w:rsid w:val="00644154"/>
    <w:rsid w:val="00644A77"/>
    <w:rsid w:val="00645252"/>
    <w:rsid w:val="006471DB"/>
    <w:rsid w:val="00651B0B"/>
    <w:rsid w:val="0065265D"/>
    <w:rsid w:val="00652AD1"/>
    <w:rsid w:val="00652AEB"/>
    <w:rsid w:val="006606C1"/>
    <w:rsid w:val="00662F4E"/>
    <w:rsid w:val="00663886"/>
    <w:rsid w:val="00663EC1"/>
    <w:rsid w:val="006672D3"/>
    <w:rsid w:val="0067259B"/>
    <w:rsid w:val="006733BA"/>
    <w:rsid w:val="0068122F"/>
    <w:rsid w:val="0068341C"/>
    <w:rsid w:val="006859FA"/>
    <w:rsid w:val="00686A44"/>
    <w:rsid w:val="006946C2"/>
    <w:rsid w:val="006A271B"/>
    <w:rsid w:val="006A5E17"/>
    <w:rsid w:val="006A644B"/>
    <w:rsid w:val="006B0058"/>
    <w:rsid w:val="006B1176"/>
    <w:rsid w:val="006B296C"/>
    <w:rsid w:val="006B2C0F"/>
    <w:rsid w:val="006B3B42"/>
    <w:rsid w:val="006C4C13"/>
    <w:rsid w:val="006C4D30"/>
    <w:rsid w:val="006C5E39"/>
    <w:rsid w:val="006C62F4"/>
    <w:rsid w:val="006D30B5"/>
    <w:rsid w:val="006D321C"/>
    <w:rsid w:val="006D3D74"/>
    <w:rsid w:val="006D3DF3"/>
    <w:rsid w:val="006D4014"/>
    <w:rsid w:val="006D54FE"/>
    <w:rsid w:val="006D6ECC"/>
    <w:rsid w:val="006D760B"/>
    <w:rsid w:val="006E053C"/>
    <w:rsid w:val="006E1AD5"/>
    <w:rsid w:val="006E4E28"/>
    <w:rsid w:val="006F18BF"/>
    <w:rsid w:val="006F2413"/>
    <w:rsid w:val="006F2E51"/>
    <w:rsid w:val="006F373F"/>
    <w:rsid w:val="006F7247"/>
    <w:rsid w:val="00703811"/>
    <w:rsid w:val="00703EA3"/>
    <w:rsid w:val="00703FF7"/>
    <w:rsid w:val="007051A3"/>
    <w:rsid w:val="007052BC"/>
    <w:rsid w:val="00705CAE"/>
    <w:rsid w:val="00707677"/>
    <w:rsid w:val="007077FB"/>
    <w:rsid w:val="007105AD"/>
    <w:rsid w:val="0071332A"/>
    <w:rsid w:val="00717482"/>
    <w:rsid w:val="00720D3E"/>
    <w:rsid w:val="007226F0"/>
    <w:rsid w:val="00726669"/>
    <w:rsid w:val="00741985"/>
    <w:rsid w:val="00741B82"/>
    <w:rsid w:val="00742A9D"/>
    <w:rsid w:val="007501B4"/>
    <w:rsid w:val="0075164B"/>
    <w:rsid w:val="00753D09"/>
    <w:rsid w:val="00756F4A"/>
    <w:rsid w:val="007611D7"/>
    <w:rsid w:val="007637AC"/>
    <w:rsid w:val="007650DB"/>
    <w:rsid w:val="00771EAA"/>
    <w:rsid w:val="0077332A"/>
    <w:rsid w:val="00775800"/>
    <w:rsid w:val="0077740E"/>
    <w:rsid w:val="0078150A"/>
    <w:rsid w:val="00781709"/>
    <w:rsid w:val="00784C85"/>
    <w:rsid w:val="00785FEC"/>
    <w:rsid w:val="0078600F"/>
    <w:rsid w:val="007871B3"/>
    <w:rsid w:val="00787B90"/>
    <w:rsid w:val="00790F5F"/>
    <w:rsid w:val="00791EBE"/>
    <w:rsid w:val="007925D8"/>
    <w:rsid w:val="0079620F"/>
    <w:rsid w:val="007A31D7"/>
    <w:rsid w:val="007A45F3"/>
    <w:rsid w:val="007B00FF"/>
    <w:rsid w:val="007B2B1E"/>
    <w:rsid w:val="007B2DC7"/>
    <w:rsid w:val="007B3987"/>
    <w:rsid w:val="007B76E0"/>
    <w:rsid w:val="007C00B4"/>
    <w:rsid w:val="007C1FF6"/>
    <w:rsid w:val="007C2593"/>
    <w:rsid w:val="007C2977"/>
    <w:rsid w:val="007C3554"/>
    <w:rsid w:val="007C44C6"/>
    <w:rsid w:val="007C48CE"/>
    <w:rsid w:val="007C569D"/>
    <w:rsid w:val="007C5D1F"/>
    <w:rsid w:val="007C7612"/>
    <w:rsid w:val="007D2BC8"/>
    <w:rsid w:val="007D3005"/>
    <w:rsid w:val="007D3510"/>
    <w:rsid w:val="007D7D68"/>
    <w:rsid w:val="007E0AD5"/>
    <w:rsid w:val="007E105D"/>
    <w:rsid w:val="007F08ED"/>
    <w:rsid w:val="007F0E24"/>
    <w:rsid w:val="007F13FC"/>
    <w:rsid w:val="007F2CF3"/>
    <w:rsid w:val="007F32E4"/>
    <w:rsid w:val="00800ACE"/>
    <w:rsid w:val="008014D7"/>
    <w:rsid w:val="00803454"/>
    <w:rsid w:val="008058DD"/>
    <w:rsid w:val="008068B0"/>
    <w:rsid w:val="0081180D"/>
    <w:rsid w:val="008215B1"/>
    <w:rsid w:val="00825F31"/>
    <w:rsid w:val="00830023"/>
    <w:rsid w:val="008353BC"/>
    <w:rsid w:val="008378E5"/>
    <w:rsid w:val="00844CC3"/>
    <w:rsid w:val="008452DC"/>
    <w:rsid w:val="00850FB9"/>
    <w:rsid w:val="00856864"/>
    <w:rsid w:val="00856CDF"/>
    <w:rsid w:val="00856F6D"/>
    <w:rsid w:val="00861941"/>
    <w:rsid w:val="0086197B"/>
    <w:rsid w:val="008655AE"/>
    <w:rsid w:val="008707DC"/>
    <w:rsid w:val="00870CCB"/>
    <w:rsid w:val="00871AB2"/>
    <w:rsid w:val="0087329B"/>
    <w:rsid w:val="0087728D"/>
    <w:rsid w:val="00880BC5"/>
    <w:rsid w:val="00885523"/>
    <w:rsid w:val="00892BA3"/>
    <w:rsid w:val="00892E07"/>
    <w:rsid w:val="00893E7F"/>
    <w:rsid w:val="00897E5D"/>
    <w:rsid w:val="008A01B2"/>
    <w:rsid w:val="008A062C"/>
    <w:rsid w:val="008A1A71"/>
    <w:rsid w:val="008A1B49"/>
    <w:rsid w:val="008A272D"/>
    <w:rsid w:val="008A2F62"/>
    <w:rsid w:val="008A64B3"/>
    <w:rsid w:val="008B50D5"/>
    <w:rsid w:val="008B565D"/>
    <w:rsid w:val="008B5E57"/>
    <w:rsid w:val="008B723D"/>
    <w:rsid w:val="008B7C99"/>
    <w:rsid w:val="008C1324"/>
    <w:rsid w:val="008C1BF2"/>
    <w:rsid w:val="008C238A"/>
    <w:rsid w:val="008C2514"/>
    <w:rsid w:val="008C256A"/>
    <w:rsid w:val="008C5AFE"/>
    <w:rsid w:val="008D04FE"/>
    <w:rsid w:val="008D0B60"/>
    <w:rsid w:val="008D1DCB"/>
    <w:rsid w:val="008D2EDD"/>
    <w:rsid w:val="008D48C5"/>
    <w:rsid w:val="008D4D89"/>
    <w:rsid w:val="008D5DF5"/>
    <w:rsid w:val="008D69AB"/>
    <w:rsid w:val="008E0C81"/>
    <w:rsid w:val="008E19DD"/>
    <w:rsid w:val="008E1F47"/>
    <w:rsid w:val="008E2790"/>
    <w:rsid w:val="008E4183"/>
    <w:rsid w:val="008E5771"/>
    <w:rsid w:val="008E595A"/>
    <w:rsid w:val="008F3C0E"/>
    <w:rsid w:val="008F4578"/>
    <w:rsid w:val="00900C0B"/>
    <w:rsid w:val="009016FC"/>
    <w:rsid w:val="00901BA4"/>
    <w:rsid w:val="00902929"/>
    <w:rsid w:val="00907728"/>
    <w:rsid w:val="00911496"/>
    <w:rsid w:val="00920D06"/>
    <w:rsid w:val="00921068"/>
    <w:rsid w:val="00921E0D"/>
    <w:rsid w:val="00922E88"/>
    <w:rsid w:val="00935EF9"/>
    <w:rsid w:val="009361C9"/>
    <w:rsid w:val="0093630A"/>
    <w:rsid w:val="0093741E"/>
    <w:rsid w:val="00942365"/>
    <w:rsid w:val="00943578"/>
    <w:rsid w:val="0094638D"/>
    <w:rsid w:val="00947108"/>
    <w:rsid w:val="009517DE"/>
    <w:rsid w:val="0095230F"/>
    <w:rsid w:val="00955CAD"/>
    <w:rsid w:val="00955EA3"/>
    <w:rsid w:val="0095673D"/>
    <w:rsid w:val="0096214C"/>
    <w:rsid w:val="00965A78"/>
    <w:rsid w:val="00965FBD"/>
    <w:rsid w:val="00966D49"/>
    <w:rsid w:val="009719B5"/>
    <w:rsid w:val="0097268F"/>
    <w:rsid w:val="00975C9B"/>
    <w:rsid w:val="00976957"/>
    <w:rsid w:val="00977A62"/>
    <w:rsid w:val="0098081D"/>
    <w:rsid w:val="0098096B"/>
    <w:rsid w:val="00983BB2"/>
    <w:rsid w:val="00984525"/>
    <w:rsid w:val="00985ECC"/>
    <w:rsid w:val="00990930"/>
    <w:rsid w:val="00991658"/>
    <w:rsid w:val="009917CB"/>
    <w:rsid w:val="00994515"/>
    <w:rsid w:val="009A2553"/>
    <w:rsid w:val="009A4166"/>
    <w:rsid w:val="009A70BB"/>
    <w:rsid w:val="009B2028"/>
    <w:rsid w:val="009C3735"/>
    <w:rsid w:val="009C50AD"/>
    <w:rsid w:val="009C5977"/>
    <w:rsid w:val="009C6AE4"/>
    <w:rsid w:val="009D1761"/>
    <w:rsid w:val="009D21C2"/>
    <w:rsid w:val="009D380A"/>
    <w:rsid w:val="009D4032"/>
    <w:rsid w:val="009D6A6D"/>
    <w:rsid w:val="009E0DC3"/>
    <w:rsid w:val="009E3A37"/>
    <w:rsid w:val="009E7896"/>
    <w:rsid w:val="009F6148"/>
    <w:rsid w:val="00A0138E"/>
    <w:rsid w:val="00A0256F"/>
    <w:rsid w:val="00A0444A"/>
    <w:rsid w:val="00A04CE0"/>
    <w:rsid w:val="00A070CB"/>
    <w:rsid w:val="00A1084B"/>
    <w:rsid w:val="00A143FE"/>
    <w:rsid w:val="00A14C97"/>
    <w:rsid w:val="00A15271"/>
    <w:rsid w:val="00A16927"/>
    <w:rsid w:val="00A2027F"/>
    <w:rsid w:val="00A240A9"/>
    <w:rsid w:val="00A316AE"/>
    <w:rsid w:val="00A31C80"/>
    <w:rsid w:val="00A31F10"/>
    <w:rsid w:val="00A342EE"/>
    <w:rsid w:val="00A37E12"/>
    <w:rsid w:val="00A42726"/>
    <w:rsid w:val="00A4291C"/>
    <w:rsid w:val="00A43325"/>
    <w:rsid w:val="00A46F20"/>
    <w:rsid w:val="00A50ED2"/>
    <w:rsid w:val="00A5213A"/>
    <w:rsid w:val="00A55865"/>
    <w:rsid w:val="00A573E4"/>
    <w:rsid w:val="00A62513"/>
    <w:rsid w:val="00A652ED"/>
    <w:rsid w:val="00A67620"/>
    <w:rsid w:val="00A70656"/>
    <w:rsid w:val="00A71212"/>
    <w:rsid w:val="00A71631"/>
    <w:rsid w:val="00A763CC"/>
    <w:rsid w:val="00A76CD6"/>
    <w:rsid w:val="00A77141"/>
    <w:rsid w:val="00A83CE1"/>
    <w:rsid w:val="00A84274"/>
    <w:rsid w:val="00A9055F"/>
    <w:rsid w:val="00A9084F"/>
    <w:rsid w:val="00A9204E"/>
    <w:rsid w:val="00A932FE"/>
    <w:rsid w:val="00A9690D"/>
    <w:rsid w:val="00AA36BC"/>
    <w:rsid w:val="00AA471C"/>
    <w:rsid w:val="00AA732D"/>
    <w:rsid w:val="00AA73A4"/>
    <w:rsid w:val="00AB05F2"/>
    <w:rsid w:val="00AC516B"/>
    <w:rsid w:val="00AC5848"/>
    <w:rsid w:val="00AC5D18"/>
    <w:rsid w:val="00AC6F1A"/>
    <w:rsid w:val="00AD09F9"/>
    <w:rsid w:val="00AD0FEF"/>
    <w:rsid w:val="00AD4D21"/>
    <w:rsid w:val="00AE2493"/>
    <w:rsid w:val="00AE27D8"/>
    <w:rsid w:val="00AE381C"/>
    <w:rsid w:val="00AE7A2C"/>
    <w:rsid w:val="00AF51EA"/>
    <w:rsid w:val="00B017C6"/>
    <w:rsid w:val="00B049D9"/>
    <w:rsid w:val="00B15AFA"/>
    <w:rsid w:val="00B17059"/>
    <w:rsid w:val="00B200A0"/>
    <w:rsid w:val="00B275E4"/>
    <w:rsid w:val="00B27A82"/>
    <w:rsid w:val="00B30A04"/>
    <w:rsid w:val="00B30FA2"/>
    <w:rsid w:val="00B34288"/>
    <w:rsid w:val="00B35C37"/>
    <w:rsid w:val="00B35C70"/>
    <w:rsid w:val="00B361AC"/>
    <w:rsid w:val="00B421DB"/>
    <w:rsid w:val="00B42784"/>
    <w:rsid w:val="00B42B06"/>
    <w:rsid w:val="00B47B4A"/>
    <w:rsid w:val="00B47C12"/>
    <w:rsid w:val="00B5285C"/>
    <w:rsid w:val="00B54613"/>
    <w:rsid w:val="00B575A3"/>
    <w:rsid w:val="00B57642"/>
    <w:rsid w:val="00B62202"/>
    <w:rsid w:val="00B63554"/>
    <w:rsid w:val="00B65518"/>
    <w:rsid w:val="00B6692F"/>
    <w:rsid w:val="00B67CDF"/>
    <w:rsid w:val="00B709B4"/>
    <w:rsid w:val="00B7229A"/>
    <w:rsid w:val="00B72AC1"/>
    <w:rsid w:val="00B7373F"/>
    <w:rsid w:val="00B73EBC"/>
    <w:rsid w:val="00B754AB"/>
    <w:rsid w:val="00B75A71"/>
    <w:rsid w:val="00B76875"/>
    <w:rsid w:val="00B85C81"/>
    <w:rsid w:val="00B869EB"/>
    <w:rsid w:val="00B876F2"/>
    <w:rsid w:val="00B936F6"/>
    <w:rsid w:val="00B9523A"/>
    <w:rsid w:val="00B97A82"/>
    <w:rsid w:val="00BA3A8E"/>
    <w:rsid w:val="00BA3B89"/>
    <w:rsid w:val="00BA47D6"/>
    <w:rsid w:val="00BA4FB8"/>
    <w:rsid w:val="00BA6B93"/>
    <w:rsid w:val="00BB2059"/>
    <w:rsid w:val="00BB232A"/>
    <w:rsid w:val="00BB3028"/>
    <w:rsid w:val="00BB3172"/>
    <w:rsid w:val="00BB5289"/>
    <w:rsid w:val="00BB5635"/>
    <w:rsid w:val="00BB5B29"/>
    <w:rsid w:val="00BC0832"/>
    <w:rsid w:val="00BC4651"/>
    <w:rsid w:val="00BC4F25"/>
    <w:rsid w:val="00BD0597"/>
    <w:rsid w:val="00BD1175"/>
    <w:rsid w:val="00BD11FF"/>
    <w:rsid w:val="00BD44C6"/>
    <w:rsid w:val="00BE02A3"/>
    <w:rsid w:val="00BE1A46"/>
    <w:rsid w:val="00BE64D4"/>
    <w:rsid w:val="00BE7240"/>
    <w:rsid w:val="00BF07CE"/>
    <w:rsid w:val="00BF08F4"/>
    <w:rsid w:val="00BF126B"/>
    <w:rsid w:val="00BF2712"/>
    <w:rsid w:val="00BF4CCD"/>
    <w:rsid w:val="00BF77FE"/>
    <w:rsid w:val="00BF7AA6"/>
    <w:rsid w:val="00C001C8"/>
    <w:rsid w:val="00C01058"/>
    <w:rsid w:val="00C03033"/>
    <w:rsid w:val="00C170C6"/>
    <w:rsid w:val="00C200E2"/>
    <w:rsid w:val="00C20129"/>
    <w:rsid w:val="00C23A80"/>
    <w:rsid w:val="00C24107"/>
    <w:rsid w:val="00C26459"/>
    <w:rsid w:val="00C264A0"/>
    <w:rsid w:val="00C26B9D"/>
    <w:rsid w:val="00C313A6"/>
    <w:rsid w:val="00C31B16"/>
    <w:rsid w:val="00C33272"/>
    <w:rsid w:val="00C35117"/>
    <w:rsid w:val="00C360A5"/>
    <w:rsid w:val="00C3718C"/>
    <w:rsid w:val="00C374FE"/>
    <w:rsid w:val="00C41634"/>
    <w:rsid w:val="00C42C32"/>
    <w:rsid w:val="00C460B0"/>
    <w:rsid w:val="00C4720A"/>
    <w:rsid w:val="00C50021"/>
    <w:rsid w:val="00C520FC"/>
    <w:rsid w:val="00C555E0"/>
    <w:rsid w:val="00C61BCC"/>
    <w:rsid w:val="00C64C51"/>
    <w:rsid w:val="00C64D12"/>
    <w:rsid w:val="00C65ED9"/>
    <w:rsid w:val="00C71928"/>
    <w:rsid w:val="00C7492F"/>
    <w:rsid w:val="00C77225"/>
    <w:rsid w:val="00C77917"/>
    <w:rsid w:val="00C82090"/>
    <w:rsid w:val="00C8214A"/>
    <w:rsid w:val="00C92839"/>
    <w:rsid w:val="00C92CBB"/>
    <w:rsid w:val="00C95685"/>
    <w:rsid w:val="00C96BF4"/>
    <w:rsid w:val="00C96EE4"/>
    <w:rsid w:val="00C97A16"/>
    <w:rsid w:val="00CA1B69"/>
    <w:rsid w:val="00CA5EC0"/>
    <w:rsid w:val="00CA6B6C"/>
    <w:rsid w:val="00CA71E2"/>
    <w:rsid w:val="00CA762D"/>
    <w:rsid w:val="00CB38E6"/>
    <w:rsid w:val="00CC3556"/>
    <w:rsid w:val="00CC4F0A"/>
    <w:rsid w:val="00CC5D48"/>
    <w:rsid w:val="00CC67B3"/>
    <w:rsid w:val="00CC6C7B"/>
    <w:rsid w:val="00CD0867"/>
    <w:rsid w:val="00CD186E"/>
    <w:rsid w:val="00CD1A25"/>
    <w:rsid w:val="00CD6A8D"/>
    <w:rsid w:val="00CD750A"/>
    <w:rsid w:val="00CE1C03"/>
    <w:rsid w:val="00CF3394"/>
    <w:rsid w:val="00CF3FC2"/>
    <w:rsid w:val="00CF5C15"/>
    <w:rsid w:val="00D0027D"/>
    <w:rsid w:val="00D00B19"/>
    <w:rsid w:val="00D022E3"/>
    <w:rsid w:val="00D03470"/>
    <w:rsid w:val="00D07AC6"/>
    <w:rsid w:val="00D10DE3"/>
    <w:rsid w:val="00D1241F"/>
    <w:rsid w:val="00D13B4E"/>
    <w:rsid w:val="00D16E7A"/>
    <w:rsid w:val="00D21B39"/>
    <w:rsid w:val="00D221CA"/>
    <w:rsid w:val="00D23772"/>
    <w:rsid w:val="00D26C40"/>
    <w:rsid w:val="00D3230B"/>
    <w:rsid w:val="00D347B1"/>
    <w:rsid w:val="00D35610"/>
    <w:rsid w:val="00D36835"/>
    <w:rsid w:val="00D405A1"/>
    <w:rsid w:val="00D45886"/>
    <w:rsid w:val="00D460A7"/>
    <w:rsid w:val="00D50771"/>
    <w:rsid w:val="00D51D5A"/>
    <w:rsid w:val="00D625C9"/>
    <w:rsid w:val="00D65542"/>
    <w:rsid w:val="00D67703"/>
    <w:rsid w:val="00D71BC9"/>
    <w:rsid w:val="00D72B3B"/>
    <w:rsid w:val="00D72C25"/>
    <w:rsid w:val="00D73580"/>
    <w:rsid w:val="00D73C51"/>
    <w:rsid w:val="00D75BC0"/>
    <w:rsid w:val="00D76558"/>
    <w:rsid w:val="00D77819"/>
    <w:rsid w:val="00D77D7B"/>
    <w:rsid w:val="00D80F35"/>
    <w:rsid w:val="00D81656"/>
    <w:rsid w:val="00D83A20"/>
    <w:rsid w:val="00D83F02"/>
    <w:rsid w:val="00D85C4E"/>
    <w:rsid w:val="00D87509"/>
    <w:rsid w:val="00D93AA5"/>
    <w:rsid w:val="00D9444B"/>
    <w:rsid w:val="00DA09F9"/>
    <w:rsid w:val="00DA1A3D"/>
    <w:rsid w:val="00DA2920"/>
    <w:rsid w:val="00DA2A63"/>
    <w:rsid w:val="00DA2FF6"/>
    <w:rsid w:val="00DA4514"/>
    <w:rsid w:val="00DA56BE"/>
    <w:rsid w:val="00DB168A"/>
    <w:rsid w:val="00DB2016"/>
    <w:rsid w:val="00DB2085"/>
    <w:rsid w:val="00DB305E"/>
    <w:rsid w:val="00DB486F"/>
    <w:rsid w:val="00DB5E5E"/>
    <w:rsid w:val="00DB657C"/>
    <w:rsid w:val="00DB6C4A"/>
    <w:rsid w:val="00DC2731"/>
    <w:rsid w:val="00DD43DA"/>
    <w:rsid w:val="00DD4DE2"/>
    <w:rsid w:val="00DE0D50"/>
    <w:rsid w:val="00DE28BC"/>
    <w:rsid w:val="00DE3904"/>
    <w:rsid w:val="00DF0C7C"/>
    <w:rsid w:val="00DF1D86"/>
    <w:rsid w:val="00DF2FDA"/>
    <w:rsid w:val="00DF4ED7"/>
    <w:rsid w:val="00DF6212"/>
    <w:rsid w:val="00DF6D3F"/>
    <w:rsid w:val="00DF7AE9"/>
    <w:rsid w:val="00E05FD2"/>
    <w:rsid w:val="00E060A2"/>
    <w:rsid w:val="00E071FF"/>
    <w:rsid w:val="00E07646"/>
    <w:rsid w:val="00E1025E"/>
    <w:rsid w:val="00E103D0"/>
    <w:rsid w:val="00E13770"/>
    <w:rsid w:val="00E17C50"/>
    <w:rsid w:val="00E207C2"/>
    <w:rsid w:val="00E23D2C"/>
    <w:rsid w:val="00E24E7D"/>
    <w:rsid w:val="00E25646"/>
    <w:rsid w:val="00E33C32"/>
    <w:rsid w:val="00E4214E"/>
    <w:rsid w:val="00E46C66"/>
    <w:rsid w:val="00E47374"/>
    <w:rsid w:val="00E500DF"/>
    <w:rsid w:val="00E511EC"/>
    <w:rsid w:val="00E51CE0"/>
    <w:rsid w:val="00E52448"/>
    <w:rsid w:val="00E55F40"/>
    <w:rsid w:val="00E56020"/>
    <w:rsid w:val="00E5696B"/>
    <w:rsid w:val="00E666B7"/>
    <w:rsid w:val="00E66844"/>
    <w:rsid w:val="00E66D22"/>
    <w:rsid w:val="00E71EE9"/>
    <w:rsid w:val="00E724F9"/>
    <w:rsid w:val="00E81321"/>
    <w:rsid w:val="00E8202C"/>
    <w:rsid w:val="00E92375"/>
    <w:rsid w:val="00EA040F"/>
    <w:rsid w:val="00EA0D2B"/>
    <w:rsid w:val="00EA48A5"/>
    <w:rsid w:val="00EA5657"/>
    <w:rsid w:val="00EA6403"/>
    <w:rsid w:val="00EA6A48"/>
    <w:rsid w:val="00EB0087"/>
    <w:rsid w:val="00EB05AE"/>
    <w:rsid w:val="00EB1718"/>
    <w:rsid w:val="00EB4AF8"/>
    <w:rsid w:val="00EB56B2"/>
    <w:rsid w:val="00EC0AA9"/>
    <w:rsid w:val="00EC4E32"/>
    <w:rsid w:val="00EC52D8"/>
    <w:rsid w:val="00EC6969"/>
    <w:rsid w:val="00ED072B"/>
    <w:rsid w:val="00ED18F9"/>
    <w:rsid w:val="00ED2B68"/>
    <w:rsid w:val="00ED3F82"/>
    <w:rsid w:val="00ED4D16"/>
    <w:rsid w:val="00ED4EF3"/>
    <w:rsid w:val="00ED65EA"/>
    <w:rsid w:val="00ED67ED"/>
    <w:rsid w:val="00ED7289"/>
    <w:rsid w:val="00EE301E"/>
    <w:rsid w:val="00EE3F91"/>
    <w:rsid w:val="00EE434D"/>
    <w:rsid w:val="00EE44AE"/>
    <w:rsid w:val="00EF2C9B"/>
    <w:rsid w:val="00F02314"/>
    <w:rsid w:val="00F043B3"/>
    <w:rsid w:val="00F0548B"/>
    <w:rsid w:val="00F07506"/>
    <w:rsid w:val="00F07E77"/>
    <w:rsid w:val="00F128F2"/>
    <w:rsid w:val="00F15430"/>
    <w:rsid w:val="00F159EA"/>
    <w:rsid w:val="00F15F48"/>
    <w:rsid w:val="00F162A8"/>
    <w:rsid w:val="00F16E3D"/>
    <w:rsid w:val="00F20308"/>
    <w:rsid w:val="00F2369E"/>
    <w:rsid w:val="00F240E3"/>
    <w:rsid w:val="00F24E79"/>
    <w:rsid w:val="00F254C8"/>
    <w:rsid w:val="00F271A0"/>
    <w:rsid w:val="00F27246"/>
    <w:rsid w:val="00F30D8E"/>
    <w:rsid w:val="00F341E3"/>
    <w:rsid w:val="00F3498A"/>
    <w:rsid w:val="00F34ADB"/>
    <w:rsid w:val="00F35C57"/>
    <w:rsid w:val="00F40F07"/>
    <w:rsid w:val="00F42E2A"/>
    <w:rsid w:val="00F44464"/>
    <w:rsid w:val="00F47AC8"/>
    <w:rsid w:val="00F5014C"/>
    <w:rsid w:val="00F5658D"/>
    <w:rsid w:val="00F626C9"/>
    <w:rsid w:val="00F62E7C"/>
    <w:rsid w:val="00F63C9A"/>
    <w:rsid w:val="00F652BF"/>
    <w:rsid w:val="00F65C79"/>
    <w:rsid w:val="00F71436"/>
    <w:rsid w:val="00F77502"/>
    <w:rsid w:val="00F813AD"/>
    <w:rsid w:val="00F82460"/>
    <w:rsid w:val="00F8371F"/>
    <w:rsid w:val="00F878C8"/>
    <w:rsid w:val="00F87F0E"/>
    <w:rsid w:val="00F91077"/>
    <w:rsid w:val="00F91578"/>
    <w:rsid w:val="00F95D36"/>
    <w:rsid w:val="00F9633C"/>
    <w:rsid w:val="00FA12F1"/>
    <w:rsid w:val="00FA2613"/>
    <w:rsid w:val="00FB0C6D"/>
    <w:rsid w:val="00FB2EC8"/>
    <w:rsid w:val="00FB3329"/>
    <w:rsid w:val="00FB3ABF"/>
    <w:rsid w:val="00FB619B"/>
    <w:rsid w:val="00FB67E3"/>
    <w:rsid w:val="00FC0EC4"/>
    <w:rsid w:val="00FC72B8"/>
    <w:rsid w:val="00FC7C00"/>
    <w:rsid w:val="00FD1E83"/>
    <w:rsid w:val="00FD283C"/>
    <w:rsid w:val="00FD4582"/>
    <w:rsid w:val="00FD486B"/>
    <w:rsid w:val="00FD6488"/>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4A0BC"/>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29"/>
    <w:pPr>
      <w:spacing w:after="120"/>
    </w:pPr>
    <w:rPr>
      <w:rFonts w:eastAsiaTheme="minorEastAsia"/>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themeColor="text1"/>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694">
      <w:bodyDiv w:val="1"/>
      <w:marLeft w:val="0"/>
      <w:marRight w:val="0"/>
      <w:marTop w:val="0"/>
      <w:marBottom w:val="0"/>
      <w:divBdr>
        <w:top w:val="none" w:sz="0" w:space="0" w:color="auto"/>
        <w:left w:val="none" w:sz="0" w:space="0" w:color="auto"/>
        <w:bottom w:val="none" w:sz="0" w:space="0" w:color="auto"/>
        <w:right w:val="none" w:sz="0" w:space="0" w:color="auto"/>
      </w:divBdr>
    </w:div>
    <w:div w:id="52891898">
      <w:bodyDiv w:val="1"/>
      <w:marLeft w:val="0"/>
      <w:marRight w:val="0"/>
      <w:marTop w:val="0"/>
      <w:marBottom w:val="0"/>
      <w:divBdr>
        <w:top w:val="none" w:sz="0" w:space="0" w:color="auto"/>
        <w:left w:val="none" w:sz="0" w:space="0" w:color="auto"/>
        <w:bottom w:val="none" w:sz="0" w:space="0" w:color="auto"/>
        <w:right w:val="none" w:sz="0" w:space="0" w:color="auto"/>
      </w:divBdr>
    </w:div>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214047528">
      <w:bodyDiv w:val="1"/>
      <w:marLeft w:val="0"/>
      <w:marRight w:val="0"/>
      <w:marTop w:val="0"/>
      <w:marBottom w:val="0"/>
      <w:divBdr>
        <w:top w:val="none" w:sz="0" w:space="0" w:color="auto"/>
        <w:left w:val="none" w:sz="0" w:space="0" w:color="auto"/>
        <w:bottom w:val="none" w:sz="0" w:space="0" w:color="auto"/>
        <w:right w:val="none" w:sz="0" w:space="0" w:color="auto"/>
      </w:divBdr>
    </w:div>
    <w:div w:id="269550611">
      <w:bodyDiv w:val="1"/>
      <w:marLeft w:val="0"/>
      <w:marRight w:val="0"/>
      <w:marTop w:val="0"/>
      <w:marBottom w:val="0"/>
      <w:divBdr>
        <w:top w:val="none" w:sz="0" w:space="0" w:color="auto"/>
        <w:left w:val="none" w:sz="0" w:space="0" w:color="auto"/>
        <w:bottom w:val="none" w:sz="0" w:space="0" w:color="auto"/>
        <w:right w:val="none" w:sz="0" w:space="0" w:color="auto"/>
      </w:divBdr>
    </w:div>
    <w:div w:id="289284712">
      <w:bodyDiv w:val="1"/>
      <w:marLeft w:val="0"/>
      <w:marRight w:val="0"/>
      <w:marTop w:val="0"/>
      <w:marBottom w:val="0"/>
      <w:divBdr>
        <w:top w:val="none" w:sz="0" w:space="0" w:color="auto"/>
        <w:left w:val="none" w:sz="0" w:space="0" w:color="auto"/>
        <w:bottom w:val="none" w:sz="0" w:space="0" w:color="auto"/>
        <w:right w:val="none" w:sz="0" w:space="0" w:color="auto"/>
      </w:divBdr>
    </w:div>
    <w:div w:id="314652583">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43558271">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31626770">
      <w:bodyDiv w:val="1"/>
      <w:marLeft w:val="0"/>
      <w:marRight w:val="0"/>
      <w:marTop w:val="0"/>
      <w:marBottom w:val="0"/>
      <w:divBdr>
        <w:top w:val="none" w:sz="0" w:space="0" w:color="auto"/>
        <w:left w:val="none" w:sz="0" w:space="0" w:color="auto"/>
        <w:bottom w:val="none" w:sz="0" w:space="0" w:color="auto"/>
        <w:right w:val="none" w:sz="0" w:space="0" w:color="auto"/>
      </w:divBdr>
      <w:divsChild>
        <w:div w:id="1216509931">
          <w:marLeft w:val="0"/>
          <w:marRight w:val="0"/>
          <w:marTop w:val="0"/>
          <w:marBottom w:val="0"/>
          <w:divBdr>
            <w:top w:val="none" w:sz="0" w:space="0" w:color="auto"/>
            <w:left w:val="none" w:sz="0" w:space="0" w:color="auto"/>
            <w:bottom w:val="none" w:sz="0" w:space="0" w:color="auto"/>
            <w:right w:val="none" w:sz="0" w:space="0" w:color="auto"/>
          </w:divBdr>
          <w:divsChild>
            <w:div w:id="1373336476">
              <w:marLeft w:val="0"/>
              <w:marRight w:val="0"/>
              <w:marTop w:val="0"/>
              <w:marBottom w:val="0"/>
              <w:divBdr>
                <w:top w:val="none" w:sz="0" w:space="0" w:color="auto"/>
                <w:left w:val="none" w:sz="0" w:space="0" w:color="auto"/>
                <w:bottom w:val="none" w:sz="0" w:space="0" w:color="auto"/>
                <w:right w:val="none" w:sz="0" w:space="0" w:color="auto"/>
              </w:divBdr>
              <w:divsChild>
                <w:div w:id="11690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260425">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57166680">
      <w:bodyDiv w:val="1"/>
      <w:marLeft w:val="0"/>
      <w:marRight w:val="0"/>
      <w:marTop w:val="0"/>
      <w:marBottom w:val="0"/>
      <w:divBdr>
        <w:top w:val="none" w:sz="0" w:space="0" w:color="auto"/>
        <w:left w:val="none" w:sz="0" w:space="0" w:color="auto"/>
        <w:bottom w:val="none" w:sz="0" w:space="0" w:color="auto"/>
        <w:right w:val="none" w:sz="0" w:space="0" w:color="auto"/>
      </w:divBdr>
    </w:div>
    <w:div w:id="107644024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70563262">
      <w:bodyDiv w:val="1"/>
      <w:marLeft w:val="0"/>
      <w:marRight w:val="0"/>
      <w:marTop w:val="0"/>
      <w:marBottom w:val="0"/>
      <w:divBdr>
        <w:top w:val="none" w:sz="0" w:space="0" w:color="auto"/>
        <w:left w:val="none" w:sz="0" w:space="0" w:color="auto"/>
        <w:bottom w:val="none" w:sz="0" w:space="0" w:color="auto"/>
        <w:right w:val="none" w:sz="0" w:space="0" w:color="auto"/>
      </w:divBdr>
    </w:div>
    <w:div w:id="1374844182">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07018533">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015187">
      <w:bodyDiv w:val="1"/>
      <w:marLeft w:val="0"/>
      <w:marRight w:val="0"/>
      <w:marTop w:val="0"/>
      <w:marBottom w:val="0"/>
      <w:divBdr>
        <w:top w:val="none" w:sz="0" w:space="0" w:color="auto"/>
        <w:left w:val="none" w:sz="0" w:space="0" w:color="auto"/>
        <w:bottom w:val="none" w:sz="0" w:space="0" w:color="auto"/>
        <w:right w:val="none" w:sz="0" w:space="0" w:color="auto"/>
      </w:divBdr>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39455733">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25465678">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7514808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1955476700">
      <w:bodyDiv w:val="1"/>
      <w:marLeft w:val="0"/>
      <w:marRight w:val="0"/>
      <w:marTop w:val="0"/>
      <w:marBottom w:val="0"/>
      <w:divBdr>
        <w:top w:val="none" w:sz="0" w:space="0" w:color="auto"/>
        <w:left w:val="none" w:sz="0" w:space="0" w:color="auto"/>
        <w:bottom w:val="none" w:sz="0" w:space="0" w:color="auto"/>
        <w:right w:val="none" w:sz="0" w:space="0" w:color="auto"/>
      </w:divBdr>
    </w:div>
    <w:div w:id="2110272464">
      <w:bodyDiv w:val="1"/>
      <w:marLeft w:val="0"/>
      <w:marRight w:val="0"/>
      <w:marTop w:val="0"/>
      <w:marBottom w:val="0"/>
      <w:divBdr>
        <w:top w:val="none" w:sz="0" w:space="0" w:color="auto"/>
        <w:left w:val="none" w:sz="0" w:space="0" w:color="auto"/>
        <w:bottom w:val="none" w:sz="0" w:space="0" w:color="auto"/>
        <w:right w:val="none" w:sz="0" w:space="0" w:color="auto"/>
      </w:divBdr>
    </w:div>
    <w:div w:id="21229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mma.sexton@ihcua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ad.ibrahim@ihcua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Whiting</dc:creator>
  <cp:lastModifiedBy>Ahmad Ibrahim</cp:lastModifiedBy>
  <cp:revision>2</cp:revision>
  <cp:lastPrinted>2022-08-10T15:07:00Z</cp:lastPrinted>
  <dcterms:created xsi:type="dcterms:W3CDTF">2022-08-10T20:13:00Z</dcterms:created>
  <dcterms:modified xsi:type="dcterms:W3CDTF">2022-08-10T20:13:00Z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Enabled">
    <vt:lpwstr>true</vt:lpwstr>
  </property>
  <property fmtid="{D5CDD505-2E9C-101B-9397-08002B2CF9AE}" pid="3" name="MSIP_Label_e1da0be8-9b43-41b6-9549-69b8e68dc6f8_SetDate">
    <vt:lpwstr>2022-08-08T05:24:47Z</vt:lpwstr>
  </property>
  <property fmtid="{D5CDD505-2E9C-101B-9397-08002B2CF9AE}" pid="4" name="MSIP_Label_e1da0be8-9b43-41b6-9549-69b8e68dc6f8_Method">
    <vt:lpwstr>Standard</vt:lpwstr>
  </property>
  <property fmtid="{D5CDD505-2E9C-101B-9397-08002B2CF9AE}" pid="5" name="MSIP_Label_e1da0be8-9b43-41b6-9549-69b8e68dc6f8_Name">
    <vt:lpwstr>Public</vt:lpwstr>
  </property>
  <property fmtid="{D5CDD505-2E9C-101B-9397-08002B2CF9AE}" pid="6" name="MSIP_Label_e1da0be8-9b43-41b6-9549-69b8e68dc6f8_SiteId">
    <vt:lpwstr>266f8c24-cc05-41b8-b635-ffaf4ee49853</vt:lpwstr>
  </property>
  <property fmtid="{D5CDD505-2E9C-101B-9397-08002B2CF9AE}" pid="7" name="MSIP_Label_e1da0be8-9b43-41b6-9549-69b8e68dc6f8_ActionId">
    <vt:lpwstr>05e2a490-3105-4607-8173-17ce26e84e38</vt:lpwstr>
  </property>
  <property fmtid="{D5CDD505-2E9C-101B-9397-08002B2CF9AE}" pid="8" name="MSIP_Label_e1da0be8-9b43-41b6-9549-69b8e68dc6f8_ContentBits">
    <vt:lpwstr>0</vt:lpwstr>
  </property>
</Properties>
</file>