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FEDAB" w14:textId="3BD3F5F8" w:rsidR="00BE5B66" w:rsidRDefault="009C37D2" w:rsidP="00BE5B66">
      <w:pPr>
        <w:spacing w:after="0" w:line="240" w:lineRule="auto"/>
        <w:rPr>
          <w:rFonts w:ascii="Arial Nova Light" w:hAnsi="Arial Nova Light" w:cs="Arial"/>
          <w:b/>
          <w:bCs/>
          <w:color w:val="262551"/>
          <w:sz w:val="48"/>
          <w:szCs w:val="48"/>
        </w:rPr>
      </w:pPr>
      <w:r>
        <w:rPr>
          <w:rFonts w:ascii="Arial Nova Light" w:hAnsi="Arial Nova Light" w:cs="Arial"/>
          <w:b/>
          <w:bCs/>
          <w:color w:val="262551"/>
          <w:sz w:val="48"/>
          <w:szCs w:val="48"/>
        </w:rPr>
        <w:t>FY</w:t>
      </w:r>
      <w:r w:rsidR="00B22479">
        <w:rPr>
          <w:rFonts w:ascii="Arial Nova Light" w:hAnsi="Arial Nova Light" w:cs="Arial"/>
          <w:b/>
          <w:bCs/>
          <w:color w:val="262551"/>
          <w:sz w:val="48"/>
          <w:szCs w:val="48"/>
        </w:rPr>
        <w:t xml:space="preserve"> </w:t>
      </w:r>
      <w:r w:rsidR="00A768DD">
        <w:rPr>
          <w:rFonts w:ascii="Arial Nova Light" w:hAnsi="Arial Nova Light" w:cs="Arial"/>
          <w:b/>
          <w:bCs/>
          <w:color w:val="262551"/>
          <w:sz w:val="48"/>
          <w:szCs w:val="48"/>
        </w:rPr>
        <w:t>2020</w:t>
      </w:r>
      <w:r>
        <w:rPr>
          <w:rFonts w:ascii="Arial Nova Light" w:hAnsi="Arial Nova Light" w:cs="Arial"/>
          <w:b/>
          <w:bCs/>
          <w:color w:val="262551"/>
          <w:sz w:val="48"/>
          <w:szCs w:val="48"/>
        </w:rPr>
        <w:t xml:space="preserve"> </w:t>
      </w:r>
      <w:r w:rsidR="0092184A">
        <w:rPr>
          <w:rFonts w:ascii="Arial Nova Light" w:hAnsi="Arial Nova Light" w:cs="Arial"/>
          <w:b/>
          <w:bCs/>
          <w:color w:val="262551"/>
          <w:sz w:val="48"/>
          <w:szCs w:val="48"/>
        </w:rPr>
        <w:t>A</w:t>
      </w:r>
      <w:r>
        <w:rPr>
          <w:rFonts w:ascii="Arial Nova Light" w:hAnsi="Arial Nova Light" w:cs="Arial"/>
          <w:b/>
          <w:bCs/>
          <w:color w:val="262551"/>
          <w:sz w:val="48"/>
          <w:szCs w:val="48"/>
        </w:rPr>
        <w:t xml:space="preserve">udited </w:t>
      </w:r>
      <w:r w:rsidR="0092184A">
        <w:rPr>
          <w:rFonts w:ascii="Arial Nova Light" w:hAnsi="Arial Nova Light" w:cs="Arial"/>
          <w:b/>
          <w:bCs/>
          <w:color w:val="262551"/>
          <w:sz w:val="48"/>
          <w:szCs w:val="48"/>
        </w:rPr>
        <w:t>F</w:t>
      </w:r>
      <w:r>
        <w:rPr>
          <w:rFonts w:ascii="Arial Nova Light" w:hAnsi="Arial Nova Light" w:cs="Arial"/>
          <w:b/>
          <w:bCs/>
          <w:color w:val="262551"/>
          <w:sz w:val="48"/>
          <w:szCs w:val="48"/>
        </w:rPr>
        <w:t xml:space="preserve">inancial </w:t>
      </w:r>
      <w:r w:rsidR="0092184A">
        <w:rPr>
          <w:rFonts w:ascii="Arial Nova Light" w:hAnsi="Arial Nova Light" w:cs="Arial"/>
          <w:b/>
          <w:bCs/>
          <w:color w:val="262551"/>
          <w:sz w:val="48"/>
          <w:szCs w:val="48"/>
        </w:rPr>
        <w:t>R</w:t>
      </w:r>
      <w:r>
        <w:rPr>
          <w:rFonts w:ascii="Arial Nova Light" w:hAnsi="Arial Nova Light" w:cs="Arial"/>
          <w:b/>
          <w:bCs/>
          <w:color w:val="262551"/>
          <w:sz w:val="48"/>
          <w:szCs w:val="48"/>
        </w:rPr>
        <w:t>esults</w:t>
      </w:r>
    </w:p>
    <w:p w14:paraId="26CDB38E" w14:textId="75A66645" w:rsidR="00BE5B66" w:rsidRPr="00533E9C" w:rsidRDefault="00BE5B66" w:rsidP="001C7884">
      <w:pPr>
        <w:tabs>
          <w:tab w:val="left" w:pos="8160"/>
        </w:tabs>
        <w:spacing w:after="0" w:line="240" w:lineRule="auto"/>
        <w:rPr>
          <w:rFonts w:ascii="Arial Nova Light" w:hAnsi="Arial Nova Light" w:cs="Arial"/>
          <w:b/>
          <w:bCs/>
          <w:color w:val="262551"/>
          <w:sz w:val="12"/>
          <w:szCs w:val="12"/>
        </w:rPr>
      </w:pPr>
      <w:r w:rsidRPr="00533E9C">
        <w:rPr>
          <w:rFonts w:ascii="Arial Nova Light" w:hAnsi="Arial Nova Light" w:cs="Arial"/>
          <w:b/>
          <w:bCs/>
          <w:noProof/>
          <w:color w:val="262551"/>
          <w:sz w:val="12"/>
          <w:szCs w:val="12"/>
        </w:rPr>
        <mc:AlternateContent>
          <mc:Choice Requires="wps">
            <w:drawing>
              <wp:anchor distT="0" distB="0" distL="114300" distR="114300" simplePos="0" relativeHeight="251659264" behindDoc="0" locked="0" layoutInCell="1" allowOverlap="1" wp14:anchorId="3C6E20C8" wp14:editId="47B084A4">
                <wp:simplePos x="0" y="0"/>
                <wp:positionH relativeFrom="column">
                  <wp:posOffset>0</wp:posOffset>
                </wp:positionH>
                <wp:positionV relativeFrom="paragraph">
                  <wp:posOffset>57150</wp:posOffset>
                </wp:positionV>
                <wp:extent cx="5686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86425" cy="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anchor>
            </w:drawing>
          </mc:Choice>
          <mc:Fallback>
            <w:pict>
              <v:line w14:anchorId="09A29A3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5pt" to="44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" strokecolor="black [3213]" strokeweight="1pt">
                <v:stroke joinstyle="miter"/>
              </v:line>
            </w:pict>
          </mc:Fallback>
        </mc:AlternateContent>
      </w:r>
      <w:r w:rsidR="001C7884">
        <w:rPr>
          <w:rFonts w:ascii="Arial Nova Light" w:hAnsi="Arial Nova Light" w:cs="Arial"/>
          <w:b/>
          <w:bCs/>
          <w:color w:val="262551"/>
          <w:sz w:val="12"/>
          <w:szCs w:val="12"/>
        </w:rPr>
        <w:tab/>
      </w:r>
    </w:p>
    <w:p w14:paraId="3D471EB6" w14:textId="767B5BC8" w:rsidR="00C36BD8" w:rsidRPr="009C37D2" w:rsidRDefault="00376A29" w:rsidP="009C37D2">
      <w:pPr>
        <w:spacing w:after="0" w:line="240" w:lineRule="auto"/>
        <w:rPr>
          <w:rFonts w:ascii="Arial Nova" w:hAnsi="Arial Nova" w:cstheme="minorHAnsi"/>
          <w:b/>
          <w:bCs/>
          <w:sz w:val="28"/>
          <w:szCs w:val="28"/>
        </w:rPr>
      </w:pPr>
      <w:r w:rsidRPr="009C37D2">
        <w:rPr>
          <w:rFonts w:ascii="Arial Nova" w:hAnsi="Arial Nova" w:cstheme="minorHAnsi"/>
          <w:b/>
          <w:bCs/>
          <w:sz w:val="28"/>
          <w:szCs w:val="28"/>
        </w:rPr>
        <w:t>International Holding Company</w:t>
      </w:r>
      <w:r w:rsidR="006544DB" w:rsidRPr="009C37D2">
        <w:rPr>
          <w:rFonts w:ascii="Arial Nova" w:hAnsi="Arial Nova" w:cstheme="minorHAnsi"/>
          <w:b/>
          <w:bCs/>
          <w:sz w:val="28"/>
          <w:szCs w:val="28"/>
        </w:rPr>
        <w:t xml:space="preserve"> PJSC</w:t>
      </w:r>
      <w:r w:rsidRPr="009C37D2">
        <w:rPr>
          <w:rFonts w:ascii="Arial Nova" w:hAnsi="Arial Nova" w:cstheme="minorHAnsi"/>
          <w:b/>
          <w:bCs/>
          <w:sz w:val="28"/>
          <w:szCs w:val="28"/>
        </w:rPr>
        <w:t xml:space="preserve"> (IHC)</w:t>
      </w:r>
      <w:r w:rsidR="006544DB" w:rsidRPr="009C37D2">
        <w:rPr>
          <w:rFonts w:ascii="Arial Nova" w:hAnsi="Arial Nova" w:cstheme="minorHAnsi"/>
          <w:b/>
          <w:bCs/>
          <w:sz w:val="28"/>
          <w:szCs w:val="28"/>
        </w:rPr>
        <w:t xml:space="preserve"> </w:t>
      </w:r>
      <w:r w:rsidR="009C37D2" w:rsidRPr="009C37D2">
        <w:rPr>
          <w:rFonts w:ascii="Arial Nova" w:hAnsi="Arial Nova" w:cstheme="minorHAnsi"/>
          <w:b/>
          <w:bCs/>
          <w:sz w:val="28"/>
          <w:szCs w:val="28"/>
        </w:rPr>
        <w:t xml:space="preserve">reports six-fold </w:t>
      </w:r>
      <w:r w:rsidR="009C37D2">
        <w:rPr>
          <w:rFonts w:ascii="Arial Nova" w:hAnsi="Arial Nova" w:cstheme="minorHAnsi"/>
          <w:b/>
          <w:bCs/>
          <w:sz w:val="28"/>
          <w:szCs w:val="28"/>
        </w:rPr>
        <w:t>increase</w:t>
      </w:r>
      <w:r w:rsidR="009C37D2" w:rsidRPr="009C37D2">
        <w:rPr>
          <w:rFonts w:ascii="Arial Nova" w:hAnsi="Arial Nova" w:cstheme="minorHAnsi"/>
          <w:b/>
          <w:bCs/>
          <w:sz w:val="28"/>
          <w:szCs w:val="28"/>
        </w:rPr>
        <w:t xml:space="preserve"> in </w:t>
      </w:r>
      <w:r w:rsidR="00DA39C9">
        <w:rPr>
          <w:rFonts w:ascii="Arial Nova" w:hAnsi="Arial Nova" w:cstheme="minorHAnsi"/>
          <w:b/>
          <w:bCs/>
          <w:sz w:val="28"/>
          <w:szCs w:val="28"/>
        </w:rPr>
        <w:t>FY</w:t>
      </w:r>
      <w:r w:rsidR="009C37D2" w:rsidRPr="009C37D2">
        <w:rPr>
          <w:rFonts w:ascii="Arial Nova" w:hAnsi="Arial Nova" w:cstheme="minorHAnsi"/>
          <w:b/>
          <w:bCs/>
          <w:sz w:val="28"/>
          <w:szCs w:val="28"/>
        </w:rPr>
        <w:t xml:space="preserve">2020 net profit to </w:t>
      </w:r>
      <w:r w:rsidR="000A6DFB" w:rsidRPr="009C37D2">
        <w:rPr>
          <w:rFonts w:ascii="Arial Nova" w:hAnsi="Arial Nova" w:cstheme="minorHAnsi"/>
          <w:b/>
          <w:bCs/>
          <w:sz w:val="28"/>
          <w:szCs w:val="28"/>
        </w:rPr>
        <w:t xml:space="preserve">AED </w:t>
      </w:r>
      <w:r w:rsidR="009C37D2" w:rsidRPr="009C37D2">
        <w:rPr>
          <w:rFonts w:ascii="Arial Nova" w:hAnsi="Arial Nova" w:cstheme="minorHAnsi"/>
          <w:b/>
          <w:bCs/>
          <w:sz w:val="28"/>
          <w:szCs w:val="28"/>
        </w:rPr>
        <w:t>3 b</w:t>
      </w:r>
      <w:r w:rsidR="009C37D2">
        <w:rPr>
          <w:rFonts w:ascii="Arial Nova" w:hAnsi="Arial Nova" w:cstheme="minorHAnsi"/>
          <w:b/>
          <w:bCs/>
          <w:sz w:val="28"/>
          <w:szCs w:val="28"/>
        </w:rPr>
        <w:t>illion</w:t>
      </w:r>
      <w:r w:rsidR="000A6DFB" w:rsidRPr="009C37D2">
        <w:rPr>
          <w:rFonts w:ascii="Arial Nova" w:hAnsi="Arial Nova" w:cstheme="minorHAnsi"/>
          <w:b/>
          <w:bCs/>
          <w:sz w:val="28"/>
          <w:szCs w:val="28"/>
        </w:rPr>
        <w:t xml:space="preserve"> </w:t>
      </w:r>
      <w:r w:rsidR="009C37D2" w:rsidRPr="009C37D2">
        <w:rPr>
          <w:rFonts w:ascii="Arial Nova" w:hAnsi="Arial Nova" w:cstheme="minorHAnsi"/>
          <w:b/>
          <w:bCs/>
          <w:sz w:val="28"/>
          <w:szCs w:val="28"/>
        </w:rPr>
        <w:t>driven by acquisition</w:t>
      </w:r>
      <w:r w:rsidR="009C37D2">
        <w:rPr>
          <w:rFonts w:ascii="Arial Nova" w:hAnsi="Arial Nova" w:cstheme="minorHAnsi"/>
          <w:b/>
          <w:bCs/>
          <w:sz w:val="28"/>
          <w:szCs w:val="28"/>
        </w:rPr>
        <w:t>s</w:t>
      </w:r>
    </w:p>
    <w:p w14:paraId="4DB91178" w14:textId="4FDFF5C5" w:rsidR="009C37D2" w:rsidRDefault="009C37D2" w:rsidP="00D43D76">
      <w:pPr>
        <w:spacing w:after="0" w:line="240" w:lineRule="auto"/>
        <w:jc w:val="both"/>
        <w:rPr>
          <w:rFonts w:ascii="Arial Nova" w:hAnsi="Arial Nova" w:cstheme="minorHAnsi"/>
          <w:b/>
          <w:bCs/>
        </w:rPr>
      </w:pPr>
    </w:p>
    <w:p w14:paraId="5DE463DA" w14:textId="77777777" w:rsidR="009C37D2" w:rsidRDefault="009C37D2" w:rsidP="00D43D76">
      <w:pPr>
        <w:spacing w:after="0" w:line="240" w:lineRule="auto"/>
        <w:jc w:val="both"/>
        <w:rPr>
          <w:rFonts w:ascii="Arial Nova" w:hAnsi="Arial Nova" w:cstheme="minorHAnsi"/>
          <w:b/>
          <w:bCs/>
        </w:rPr>
      </w:pPr>
    </w:p>
    <w:p w14:paraId="355F4643" w14:textId="774DEF0F" w:rsidR="009C37D2" w:rsidRDefault="00C12770" w:rsidP="00D43D76">
      <w:pPr>
        <w:spacing w:after="0" w:line="240" w:lineRule="auto"/>
        <w:jc w:val="both"/>
        <w:rPr>
          <w:rFonts w:ascii="Arial Nova" w:hAnsi="Arial Nova" w:cstheme="minorHAnsi"/>
        </w:rPr>
      </w:pPr>
      <w:r>
        <w:rPr>
          <w:rFonts w:ascii="Arial Nova" w:hAnsi="Arial Nova" w:cstheme="minorHAnsi"/>
          <w:b/>
          <w:bCs/>
        </w:rPr>
        <w:t>Abu Dhabi, UAE;</w:t>
      </w:r>
      <w:r w:rsidR="00376A29" w:rsidRPr="00D43D76">
        <w:rPr>
          <w:rFonts w:ascii="Arial Nova" w:hAnsi="Arial Nova" w:cstheme="minorHAnsi"/>
          <w:b/>
          <w:bCs/>
        </w:rPr>
        <w:t xml:space="preserve"> </w:t>
      </w:r>
      <w:r w:rsidR="00C05424">
        <w:rPr>
          <w:rFonts w:ascii="Arial Nova" w:hAnsi="Arial Nova" w:cstheme="minorHAnsi"/>
          <w:b/>
          <w:bCs/>
        </w:rPr>
        <w:t>6</w:t>
      </w:r>
      <w:r w:rsidR="00C05424" w:rsidRPr="00C05424">
        <w:rPr>
          <w:rFonts w:ascii="Arial Nova" w:hAnsi="Arial Nova" w:cstheme="minorHAnsi"/>
          <w:b/>
          <w:bCs/>
          <w:vertAlign w:val="superscript"/>
        </w:rPr>
        <w:t>th</w:t>
      </w:r>
      <w:r w:rsidR="00C05424">
        <w:rPr>
          <w:rFonts w:ascii="Arial Nova" w:hAnsi="Arial Nova" w:cstheme="minorHAnsi"/>
          <w:b/>
          <w:bCs/>
        </w:rPr>
        <w:t xml:space="preserve"> </w:t>
      </w:r>
      <w:r w:rsidR="009C37D2">
        <w:rPr>
          <w:rFonts w:ascii="Arial Nova" w:hAnsi="Arial Nova" w:cstheme="minorHAnsi"/>
          <w:b/>
          <w:bCs/>
        </w:rPr>
        <w:t>March</w:t>
      </w:r>
      <w:r w:rsidR="008D3098" w:rsidRPr="00D43D76">
        <w:rPr>
          <w:rFonts w:ascii="Arial Nova" w:hAnsi="Arial Nova" w:cstheme="minorHAnsi"/>
          <w:b/>
          <w:bCs/>
        </w:rPr>
        <w:t xml:space="preserve"> </w:t>
      </w:r>
      <w:r w:rsidR="00376A29" w:rsidRPr="00D43D76">
        <w:rPr>
          <w:rFonts w:ascii="Arial Nova" w:hAnsi="Arial Nova" w:cstheme="minorHAnsi"/>
          <w:b/>
          <w:bCs/>
        </w:rPr>
        <w:t>202</w:t>
      </w:r>
      <w:r w:rsidR="009C37D2">
        <w:rPr>
          <w:rFonts w:ascii="Arial Nova" w:hAnsi="Arial Nova" w:cstheme="minorHAnsi"/>
          <w:b/>
          <w:bCs/>
        </w:rPr>
        <w:t>1</w:t>
      </w:r>
      <w:r w:rsidR="00376A29" w:rsidRPr="00D43D76">
        <w:rPr>
          <w:rFonts w:ascii="Arial Nova" w:hAnsi="Arial Nova" w:cstheme="minorHAnsi"/>
          <w:b/>
          <w:bCs/>
        </w:rPr>
        <w:t>:</w:t>
      </w:r>
      <w:r w:rsidR="00376A29" w:rsidRPr="00D43D76">
        <w:rPr>
          <w:rFonts w:ascii="Arial Nova" w:hAnsi="Arial Nova" w:cstheme="minorHAnsi"/>
        </w:rPr>
        <w:t xml:space="preserve"> </w:t>
      </w:r>
      <w:r w:rsidR="009C37D2">
        <w:rPr>
          <w:rFonts w:ascii="Arial Nova" w:hAnsi="Arial Nova" w:cstheme="minorHAnsi"/>
        </w:rPr>
        <w:t xml:space="preserve">Abu Dhabi-based strategic investment company </w:t>
      </w:r>
      <w:r w:rsidR="00CD77D6" w:rsidRPr="00D43D76">
        <w:rPr>
          <w:rFonts w:ascii="Arial Nova" w:hAnsi="Arial Nova" w:cstheme="minorHAnsi"/>
        </w:rPr>
        <w:t>International Holding Company PJSC</w:t>
      </w:r>
      <w:r w:rsidR="00E74CF0">
        <w:rPr>
          <w:rFonts w:ascii="Arial Nova" w:hAnsi="Arial Nova" w:cstheme="minorHAnsi"/>
        </w:rPr>
        <w:t xml:space="preserve"> (“IHC” or the “Company”)</w:t>
      </w:r>
      <w:r w:rsidR="00CD77D6" w:rsidRPr="00D43D76">
        <w:rPr>
          <w:rFonts w:ascii="Arial Nova" w:hAnsi="Arial Nova" w:cstheme="minorHAnsi"/>
        </w:rPr>
        <w:t xml:space="preserve"> (ADX: IHC) </w:t>
      </w:r>
      <w:r w:rsidR="009C37D2">
        <w:rPr>
          <w:rFonts w:ascii="Arial Nova" w:hAnsi="Arial Nova" w:cstheme="minorHAnsi"/>
        </w:rPr>
        <w:t>has reported</w:t>
      </w:r>
      <w:r w:rsidR="00CD77D6" w:rsidRPr="00D43D76">
        <w:rPr>
          <w:rFonts w:ascii="Arial Nova" w:hAnsi="Arial Nova" w:cstheme="minorHAnsi"/>
        </w:rPr>
        <w:t xml:space="preserve"> </w:t>
      </w:r>
      <w:r w:rsidR="009C37D2">
        <w:rPr>
          <w:rFonts w:ascii="Arial Nova" w:hAnsi="Arial Nova" w:cstheme="minorHAnsi"/>
        </w:rPr>
        <w:t>a net profit of AED 3 billion for 2020, a six-fold</w:t>
      </w:r>
      <w:r w:rsidR="00763253">
        <w:rPr>
          <w:rFonts w:ascii="Arial Nova" w:hAnsi="Arial Nova" w:cstheme="minorHAnsi"/>
        </w:rPr>
        <w:t>,</w:t>
      </w:r>
      <w:r w:rsidR="009C37D2">
        <w:rPr>
          <w:rFonts w:ascii="Arial Nova" w:hAnsi="Arial Nova" w:cstheme="minorHAnsi"/>
        </w:rPr>
        <w:t xml:space="preserve"> year</w:t>
      </w:r>
      <w:r w:rsidR="00200700">
        <w:rPr>
          <w:rFonts w:ascii="Arial Nova" w:hAnsi="Arial Nova" w:cstheme="minorHAnsi"/>
        </w:rPr>
        <w:t>-</w:t>
      </w:r>
      <w:r w:rsidR="009C37D2">
        <w:rPr>
          <w:rFonts w:ascii="Arial Nova" w:hAnsi="Arial Nova" w:cstheme="minorHAnsi"/>
        </w:rPr>
        <w:t>on</w:t>
      </w:r>
      <w:r w:rsidR="00200700">
        <w:rPr>
          <w:rFonts w:ascii="Arial Nova" w:hAnsi="Arial Nova" w:cstheme="minorHAnsi"/>
        </w:rPr>
        <w:t>-</w:t>
      </w:r>
      <w:r w:rsidR="009C37D2">
        <w:rPr>
          <w:rFonts w:ascii="Arial Nova" w:hAnsi="Arial Nova" w:cstheme="minorHAnsi"/>
        </w:rPr>
        <w:t>year increase, driven by a series of acquisitions as well as organic growth across its diversified portfolio.</w:t>
      </w:r>
    </w:p>
    <w:p w14:paraId="4D180A28" w14:textId="77777777" w:rsidR="009C37D2" w:rsidRDefault="009C37D2" w:rsidP="00D43D76">
      <w:pPr>
        <w:spacing w:after="0" w:line="240" w:lineRule="auto"/>
        <w:jc w:val="both"/>
        <w:rPr>
          <w:rFonts w:ascii="Arial Nova" w:hAnsi="Arial Nova" w:cstheme="minorHAnsi"/>
        </w:rPr>
      </w:pPr>
    </w:p>
    <w:p w14:paraId="2F8A507D" w14:textId="1E1B4AD8" w:rsidR="00D37910" w:rsidRDefault="009C37D2" w:rsidP="002242F4">
      <w:pPr>
        <w:spacing w:after="0" w:line="240" w:lineRule="auto"/>
        <w:jc w:val="both"/>
        <w:rPr>
          <w:rFonts w:ascii="Arial Nova" w:hAnsi="Arial Nova" w:cstheme="minorHAnsi"/>
        </w:rPr>
      </w:pPr>
      <w:r>
        <w:rPr>
          <w:rFonts w:ascii="Arial Nova" w:hAnsi="Arial Nova" w:cstheme="minorHAnsi"/>
        </w:rPr>
        <w:t>In its fully audited financial statements</w:t>
      </w:r>
      <w:r w:rsidR="00DA39C9">
        <w:rPr>
          <w:rFonts w:ascii="Arial Nova" w:hAnsi="Arial Nova" w:cstheme="minorHAnsi"/>
        </w:rPr>
        <w:t xml:space="preserve"> for the full year 2020,</w:t>
      </w:r>
      <w:r>
        <w:rPr>
          <w:rFonts w:ascii="Arial Nova" w:hAnsi="Arial Nova" w:cstheme="minorHAnsi"/>
        </w:rPr>
        <w:t xml:space="preserve"> published on</w:t>
      </w:r>
      <w:r w:rsidR="0032654A">
        <w:rPr>
          <w:rFonts w:ascii="Arial Nova" w:hAnsi="Arial Nova" w:cstheme="minorHAnsi"/>
        </w:rPr>
        <w:t xml:space="preserve"> </w:t>
      </w:r>
      <w:r w:rsidR="00C87CC5">
        <w:rPr>
          <w:rFonts w:ascii="Arial Nova" w:hAnsi="Arial Nova" w:cstheme="minorHAnsi"/>
        </w:rPr>
        <w:t>4th</w:t>
      </w:r>
      <w:r>
        <w:rPr>
          <w:rFonts w:ascii="Arial Nova" w:hAnsi="Arial Nova" w:cstheme="minorHAnsi"/>
        </w:rPr>
        <w:t xml:space="preserve"> March</w:t>
      </w:r>
      <w:r w:rsidR="0032654A">
        <w:rPr>
          <w:rFonts w:ascii="Arial Nova" w:hAnsi="Arial Nova" w:cstheme="minorHAnsi"/>
        </w:rPr>
        <w:t xml:space="preserve"> 2021</w:t>
      </w:r>
      <w:r>
        <w:rPr>
          <w:rFonts w:ascii="Arial Nova" w:hAnsi="Arial Nova" w:cstheme="minorHAnsi"/>
        </w:rPr>
        <w:t xml:space="preserve">, the </w:t>
      </w:r>
      <w:r w:rsidR="00960043">
        <w:rPr>
          <w:rFonts w:ascii="Arial Nova" w:hAnsi="Arial Nova" w:cstheme="minorHAnsi"/>
        </w:rPr>
        <w:t>C</w:t>
      </w:r>
      <w:r>
        <w:rPr>
          <w:rFonts w:ascii="Arial Nova" w:hAnsi="Arial Nova" w:cstheme="minorHAnsi"/>
        </w:rPr>
        <w:t xml:space="preserve">ompany reported </w:t>
      </w:r>
      <w:r w:rsidR="00DA39C9">
        <w:rPr>
          <w:rFonts w:ascii="Arial Nova" w:hAnsi="Arial Nova" w:cstheme="minorHAnsi"/>
        </w:rPr>
        <w:t xml:space="preserve">annual </w:t>
      </w:r>
      <w:r>
        <w:rPr>
          <w:rFonts w:ascii="Arial Nova" w:hAnsi="Arial Nova" w:cstheme="minorHAnsi"/>
        </w:rPr>
        <w:t xml:space="preserve">revenues of AED 7 billion, compared to AED 1.26 billion in 2019. The </w:t>
      </w:r>
      <w:r w:rsidR="00960043">
        <w:rPr>
          <w:rFonts w:ascii="Arial Nova" w:hAnsi="Arial Nova" w:cstheme="minorHAnsi"/>
        </w:rPr>
        <w:t>C</w:t>
      </w:r>
      <w:r>
        <w:rPr>
          <w:rFonts w:ascii="Arial Nova" w:hAnsi="Arial Nova" w:cstheme="minorHAnsi"/>
        </w:rPr>
        <w:t xml:space="preserve">ompany </w:t>
      </w:r>
      <w:r w:rsidR="00D37910">
        <w:rPr>
          <w:rFonts w:ascii="Arial Nova" w:hAnsi="Arial Nova" w:cstheme="minorHAnsi"/>
        </w:rPr>
        <w:t xml:space="preserve">has experienced rapid expansion across its major business segments, which include healthcare, food products, real estate, agriculture and digital technologies. </w:t>
      </w:r>
      <w:r w:rsidR="00DC334A">
        <w:rPr>
          <w:rFonts w:ascii="Arial Nova" w:hAnsi="Arial Nova" w:cstheme="minorHAnsi"/>
        </w:rPr>
        <w:t xml:space="preserve">The expansion is the </w:t>
      </w:r>
      <w:r w:rsidR="00B22479">
        <w:rPr>
          <w:rFonts w:ascii="Arial Nova" w:hAnsi="Arial Nova" w:cstheme="minorHAnsi"/>
        </w:rPr>
        <w:t xml:space="preserve">result of </w:t>
      </w:r>
      <w:r w:rsidR="00AB59B8">
        <w:rPr>
          <w:rFonts w:ascii="Arial Nova" w:hAnsi="Arial Nova" w:cstheme="minorHAnsi"/>
        </w:rPr>
        <w:t xml:space="preserve">well thought out strategic acquisitions of </w:t>
      </w:r>
      <w:r w:rsidR="002242F4">
        <w:rPr>
          <w:rFonts w:ascii="Arial Nova" w:hAnsi="Arial Nova" w:cstheme="minorHAnsi"/>
        </w:rPr>
        <w:t>companies</w:t>
      </w:r>
      <w:r w:rsidR="002C5CE9">
        <w:rPr>
          <w:rFonts w:ascii="Arial Nova" w:hAnsi="Arial Nova" w:cstheme="minorHAnsi"/>
        </w:rPr>
        <w:t xml:space="preserve"> within its industry</w:t>
      </w:r>
      <w:r w:rsidR="002242F4">
        <w:rPr>
          <w:rFonts w:ascii="Arial Nova" w:hAnsi="Arial Nova" w:cstheme="minorHAnsi"/>
        </w:rPr>
        <w:t xml:space="preserve">, </w:t>
      </w:r>
      <w:r w:rsidR="007A29C9">
        <w:rPr>
          <w:rFonts w:ascii="Arial Nova" w:hAnsi="Arial Nova" w:cstheme="minorHAnsi"/>
        </w:rPr>
        <w:t>through business combinations and common control</w:t>
      </w:r>
      <w:r w:rsidR="00D37910">
        <w:rPr>
          <w:rFonts w:ascii="Arial Nova" w:hAnsi="Arial Nova" w:cstheme="minorHAnsi"/>
        </w:rPr>
        <w:t xml:space="preserve">, </w:t>
      </w:r>
      <w:r w:rsidR="002242F4">
        <w:rPr>
          <w:rFonts w:ascii="Arial Nova" w:hAnsi="Arial Nova" w:cstheme="minorHAnsi"/>
        </w:rPr>
        <w:t xml:space="preserve">which would </w:t>
      </w:r>
      <w:r w:rsidR="008A23D0">
        <w:rPr>
          <w:rFonts w:ascii="Arial Nova" w:hAnsi="Arial Nova" w:cstheme="minorHAnsi"/>
        </w:rPr>
        <w:t xml:space="preserve">help </w:t>
      </w:r>
      <w:r w:rsidR="002242F4">
        <w:rPr>
          <w:rFonts w:ascii="Arial Nova" w:hAnsi="Arial Nova" w:cstheme="minorHAnsi"/>
        </w:rPr>
        <w:t>drive value and long-term growth</w:t>
      </w:r>
      <w:r w:rsidR="008A23D0">
        <w:rPr>
          <w:rFonts w:ascii="Arial Nova" w:hAnsi="Arial Nova" w:cstheme="minorHAnsi"/>
        </w:rPr>
        <w:t xml:space="preserve">. The Company also sought </w:t>
      </w:r>
      <w:r w:rsidR="00D37910">
        <w:rPr>
          <w:rFonts w:ascii="Arial Nova" w:hAnsi="Arial Nova" w:cstheme="minorHAnsi"/>
        </w:rPr>
        <w:t xml:space="preserve">investments in significant minority stakes in growth companies. </w:t>
      </w:r>
    </w:p>
    <w:p w14:paraId="4462306D" w14:textId="77777777" w:rsidR="00D37910" w:rsidRDefault="00D37910" w:rsidP="00D37910">
      <w:pPr>
        <w:spacing w:after="0" w:line="240" w:lineRule="auto"/>
        <w:jc w:val="both"/>
        <w:rPr>
          <w:rFonts w:ascii="Arial Nova" w:hAnsi="Arial Nova" w:cstheme="minorHAnsi"/>
        </w:rPr>
      </w:pPr>
    </w:p>
    <w:p w14:paraId="2292645C" w14:textId="20B2302B" w:rsidR="00D37910" w:rsidRPr="00B729A5" w:rsidRDefault="00D37910" w:rsidP="00C64FBF">
      <w:pPr>
        <w:spacing w:after="0" w:line="240" w:lineRule="auto"/>
        <w:jc w:val="both"/>
        <w:rPr>
          <w:rFonts w:ascii="Arial Nova" w:hAnsi="Arial Nova" w:cstheme="minorHAnsi"/>
        </w:rPr>
      </w:pPr>
      <w:r>
        <w:rPr>
          <w:rFonts w:ascii="Arial Nova" w:hAnsi="Arial Nova" w:cstheme="minorHAnsi"/>
        </w:rPr>
        <w:t>IHC has taken stakes in California-based aerospace company</w:t>
      </w:r>
      <w:r w:rsidR="00350305">
        <w:rPr>
          <w:rFonts w:ascii="Arial Nova" w:hAnsi="Arial Nova" w:cstheme="minorHAnsi"/>
        </w:rPr>
        <w:t xml:space="preserve"> </w:t>
      </w:r>
      <w:r w:rsidRPr="00720291">
        <w:rPr>
          <w:rFonts w:ascii="Arial Nova" w:hAnsi="Arial Nova" w:cstheme="minorHAnsi"/>
        </w:rPr>
        <w:t>SpaceX</w:t>
      </w:r>
      <w:r w:rsidR="00350305" w:rsidRPr="00720291">
        <w:t xml:space="preserve"> </w:t>
      </w:r>
      <w:r w:rsidR="00350305" w:rsidRPr="00720291">
        <w:rPr>
          <w:rFonts w:ascii="Arial Nova" w:hAnsi="Arial Nova" w:cstheme="minorHAnsi"/>
        </w:rPr>
        <w:t xml:space="preserve">through </w:t>
      </w:r>
      <w:r w:rsidR="00AC082D" w:rsidRPr="00720291">
        <w:rPr>
          <w:rFonts w:ascii="Arial Nova" w:hAnsi="Arial Nova" w:cstheme="minorHAnsi"/>
        </w:rPr>
        <w:t xml:space="preserve">a </w:t>
      </w:r>
      <w:r w:rsidR="00350305" w:rsidRPr="00720291">
        <w:rPr>
          <w:rFonts w:ascii="Arial Nova" w:hAnsi="Arial Nova" w:cstheme="minorHAnsi"/>
        </w:rPr>
        <w:t>private equity fund</w:t>
      </w:r>
      <w:r w:rsidR="00F533F7" w:rsidRPr="00720291">
        <w:rPr>
          <w:rFonts w:ascii="Arial Nova" w:hAnsi="Arial Nova" w:cstheme="minorHAnsi"/>
        </w:rPr>
        <w:t>,</w:t>
      </w:r>
      <w:r w:rsidR="00C05424" w:rsidRPr="00720291">
        <w:rPr>
          <w:rFonts w:ascii="Arial Nova" w:hAnsi="Arial Nova" w:cstheme="minorHAnsi"/>
        </w:rPr>
        <w:t xml:space="preserve"> </w:t>
      </w:r>
      <w:r w:rsidR="00F533F7" w:rsidRPr="00720291">
        <w:rPr>
          <w:rFonts w:ascii="Arial Nova" w:hAnsi="Arial Nova" w:cstheme="minorHAnsi"/>
        </w:rPr>
        <w:t xml:space="preserve">as well </w:t>
      </w:r>
      <w:r w:rsidR="0092184A" w:rsidRPr="00720291">
        <w:rPr>
          <w:rFonts w:ascii="Arial Nova" w:hAnsi="Arial Nova" w:cstheme="minorHAnsi"/>
        </w:rPr>
        <w:t xml:space="preserve">other investments </w:t>
      </w:r>
      <w:r w:rsidR="00F533F7" w:rsidRPr="00720291">
        <w:rPr>
          <w:rFonts w:ascii="Arial Nova" w:hAnsi="Arial Nova" w:cstheme="minorHAnsi"/>
        </w:rPr>
        <w:t>in UK-based DNA sequencing firm Oxford Nanopore</w:t>
      </w:r>
      <w:r w:rsidRPr="00720291">
        <w:rPr>
          <w:rFonts w:ascii="Arial Nova" w:hAnsi="Arial Nova" w:cstheme="minorHAnsi"/>
        </w:rPr>
        <w:t xml:space="preserve"> </w:t>
      </w:r>
      <w:r w:rsidR="00F533F7" w:rsidRPr="00720291">
        <w:rPr>
          <w:rFonts w:ascii="Arial Nova" w:hAnsi="Arial Nova" w:cstheme="minorHAnsi"/>
        </w:rPr>
        <w:t xml:space="preserve">technologies, New York digital marketing company </w:t>
      </w:r>
      <w:proofErr w:type="spellStart"/>
      <w:r w:rsidR="00F533F7" w:rsidRPr="00720291">
        <w:rPr>
          <w:rFonts w:ascii="Arial Nova" w:hAnsi="Arial Nova" w:cstheme="minorHAnsi"/>
        </w:rPr>
        <w:t>Yieldmo</w:t>
      </w:r>
      <w:proofErr w:type="spellEnd"/>
      <w:r w:rsidR="00F533F7" w:rsidRPr="00720291">
        <w:rPr>
          <w:rFonts w:ascii="Arial Nova" w:hAnsi="Arial Nova" w:cstheme="minorHAnsi"/>
        </w:rPr>
        <w:t>, and</w:t>
      </w:r>
      <w:r w:rsidR="00F533F7" w:rsidRPr="00B729A5">
        <w:rPr>
          <w:rFonts w:ascii="Arial Nova" w:hAnsi="Arial Nova" w:cstheme="minorHAnsi"/>
        </w:rPr>
        <w:t xml:space="preserve"> Abu Dhabi National Oil Company (ADNOC). </w:t>
      </w:r>
    </w:p>
    <w:p w14:paraId="3D17ADF7" w14:textId="406F73C3" w:rsidR="00F533F7" w:rsidRPr="00B729A5" w:rsidRDefault="00F533F7" w:rsidP="00F533F7">
      <w:pPr>
        <w:spacing w:after="0" w:line="240" w:lineRule="auto"/>
        <w:jc w:val="both"/>
        <w:rPr>
          <w:rFonts w:ascii="Arial Nova" w:hAnsi="Arial Nova" w:cstheme="minorHAnsi"/>
        </w:rPr>
      </w:pPr>
    </w:p>
    <w:p w14:paraId="2E714728" w14:textId="77777777" w:rsidR="00CC4475" w:rsidRPr="00B729A5" w:rsidRDefault="00F533F7" w:rsidP="00F533F7">
      <w:pPr>
        <w:spacing w:after="0" w:line="240" w:lineRule="auto"/>
        <w:jc w:val="both"/>
        <w:rPr>
          <w:rFonts w:ascii="Arial Nova" w:hAnsi="Arial Nova" w:cstheme="minorHAnsi"/>
        </w:rPr>
      </w:pPr>
      <w:r w:rsidRPr="00B729A5">
        <w:rPr>
          <w:rFonts w:ascii="Arial Nova" w:hAnsi="Arial Nova" w:cstheme="minorHAnsi"/>
          <w:b/>
          <w:bCs/>
        </w:rPr>
        <w:t>Syed Basar Shueb, IHC’s Chief Executive Officer and Managing Director</w:t>
      </w:r>
      <w:r w:rsidR="00934944" w:rsidRPr="00B729A5">
        <w:rPr>
          <w:rFonts w:ascii="Arial Nova" w:hAnsi="Arial Nova" w:cstheme="minorHAnsi"/>
          <w:b/>
          <w:bCs/>
        </w:rPr>
        <w:t>,</w:t>
      </w:r>
      <w:r w:rsidRPr="00B729A5">
        <w:rPr>
          <w:rFonts w:ascii="Arial Nova" w:hAnsi="Arial Nova" w:cstheme="minorHAnsi"/>
          <w:b/>
          <w:bCs/>
        </w:rPr>
        <w:t xml:space="preserve"> commented:</w:t>
      </w:r>
      <w:r w:rsidRPr="00B729A5">
        <w:rPr>
          <w:rFonts w:ascii="Arial Nova" w:hAnsi="Arial Nova" w:cstheme="minorHAnsi"/>
        </w:rPr>
        <w:t xml:space="preserve"> </w:t>
      </w:r>
    </w:p>
    <w:p w14:paraId="65FE4EF0" w14:textId="72D64D8A" w:rsidR="00F533F7" w:rsidRDefault="00F533F7" w:rsidP="00CC4475">
      <w:pPr>
        <w:spacing w:after="0" w:line="240" w:lineRule="auto"/>
        <w:ind w:left="426" w:right="521"/>
        <w:jc w:val="both"/>
        <w:rPr>
          <w:rFonts w:ascii="Arial Nova" w:hAnsi="Arial Nova" w:cstheme="minorHAnsi"/>
        </w:rPr>
      </w:pPr>
      <w:r w:rsidRPr="00B729A5">
        <w:rPr>
          <w:rFonts w:ascii="Arial Nova" w:hAnsi="Arial Nova" w:cstheme="minorHAnsi"/>
          <w:i/>
          <w:iCs/>
        </w:rPr>
        <w:t xml:space="preserve">“IHC has transformed into a major investment company that benefits from a robust balance sheet and a highly diversified portfolio that spans </w:t>
      </w:r>
      <w:r w:rsidR="00A04336" w:rsidRPr="00B729A5">
        <w:rPr>
          <w:rFonts w:ascii="Arial Nova" w:hAnsi="Arial Nova" w:cstheme="minorHAnsi"/>
          <w:i/>
          <w:iCs/>
        </w:rPr>
        <w:t>six</w:t>
      </w:r>
      <w:r w:rsidRPr="00B729A5">
        <w:rPr>
          <w:rFonts w:ascii="Arial Nova" w:hAnsi="Arial Nova" w:cstheme="minorHAnsi"/>
          <w:i/>
          <w:iCs/>
        </w:rPr>
        <w:t xml:space="preserve"> vertical</w:t>
      </w:r>
      <w:r w:rsidR="001D68D0" w:rsidRPr="00B729A5">
        <w:rPr>
          <w:rFonts w:ascii="Arial Nova" w:hAnsi="Arial Nova" w:cstheme="minorHAnsi"/>
          <w:i/>
          <w:iCs/>
        </w:rPr>
        <w:t xml:space="preserve"> segments</w:t>
      </w:r>
      <w:r w:rsidRPr="00B729A5">
        <w:rPr>
          <w:rFonts w:ascii="Arial Nova" w:hAnsi="Arial Nova" w:cstheme="minorHAnsi"/>
          <w:i/>
          <w:iCs/>
        </w:rPr>
        <w:t>.</w:t>
      </w:r>
      <w:r w:rsidR="00C64FBF" w:rsidRPr="00B729A5">
        <w:rPr>
          <w:rFonts w:ascii="Arial Nova" w:hAnsi="Arial Nova" w:cstheme="minorHAnsi"/>
          <w:i/>
          <w:iCs/>
        </w:rPr>
        <w:t xml:space="preserve"> Although our growth has been partially driven by strategic acquisitions and </w:t>
      </w:r>
      <w:r w:rsidR="00C64FBF" w:rsidRPr="00CC4475">
        <w:rPr>
          <w:rFonts w:ascii="Arial Nova" w:hAnsi="Arial Nova" w:cstheme="minorHAnsi"/>
          <w:i/>
          <w:iCs/>
        </w:rPr>
        <w:t xml:space="preserve">investments, our subsidiaries have also delivered </w:t>
      </w:r>
      <w:r w:rsidR="007923F6" w:rsidRPr="00CC4475">
        <w:rPr>
          <w:rFonts w:ascii="Arial Nova" w:hAnsi="Arial Nova" w:cstheme="minorHAnsi"/>
          <w:i/>
          <w:iCs/>
        </w:rPr>
        <w:t xml:space="preserve">strong </w:t>
      </w:r>
      <w:r w:rsidR="00D37686" w:rsidRPr="00CC4475">
        <w:rPr>
          <w:rFonts w:ascii="Arial Nova" w:hAnsi="Arial Nova" w:cstheme="minorHAnsi"/>
          <w:i/>
          <w:iCs/>
        </w:rPr>
        <w:t xml:space="preserve">organic revenue </w:t>
      </w:r>
      <w:r w:rsidR="00C64FBF" w:rsidRPr="00CC4475">
        <w:rPr>
          <w:rFonts w:ascii="Arial Nova" w:hAnsi="Arial Nova" w:cstheme="minorHAnsi"/>
          <w:i/>
          <w:iCs/>
        </w:rPr>
        <w:t>growth</w:t>
      </w:r>
      <w:r w:rsidR="008C7817" w:rsidRPr="00CC4475">
        <w:rPr>
          <w:rFonts w:ascii="Arial Nova" w:hAnsi="Arial Nova" w:cstheme="minorHAnsi"/>
          <w:i/>
          <w:iCs/>
        </w:rPr>
        <w:t xml:space="preserve"> of </w:t>
      </w:r>
      <w:r w:rsidR="000A3B37" w:rsidRPr="009209D3">
        <w:rPr>
          <w:rFonts w:ascii="Arial Nova" w:hAnsi="Arial Nova" w:cstheme="minorHAnsi"/>
          <w:b/>
          <w:bCs/>
          <w:i/>
          <w:iCs/>
        </w:rPr>
        <w:t>165%</w:t>
      </w:r>
      <w:r w:rsidR="00C64FBF" w:rsidRPr="009209D3">
        <w:rPr>
          <w:rFonts w:ascii="Arial Nova" w:hAnsi="Arial Nova" w:cstheme="minorHAnsi"/>
          <w:b/>
          <w:bCs/>
          <w:i/>
          <w:iCs/>
        </w:rPr>
        <w:t>,</w:t>
      </w:r>
      <w:r w:rsidR="00350305">
        <w:rPr>
          <w:rFonts w:ascii="Arial Nova" w:hAnsi="Arial Nova" w:cstheme="minorHAnsi"/>
          <w:i/>
          <w:iCs/>
        </w:rPr>
        <w:t xml:space="preserve"> </w:t>
      </w:r>
      <w:r w:rsidR="00C64FBF" w:rsidRPr="00CC4475">
        <w:rPr>
          <w:rFonts w:ascii="Arial Nova" w:hAnsi="Arial Nova" w:cstheme="minorHAnsi"/>
          <w:i/>
          <w:iCs/>
        </w:rPr>
        <w:t xml:space="preserve">displaying significant resilience when faced with considerable global macro-economic challenges. IHC has built a solid platform for value creation in the coming years, and we are well positioned to invest further in high potential opportunities.”  </w:t>
      </w:r>
      <w:r w:rsidR="00C64FBF">
        <w:rPr>
          <w:rFonts w:ascii="Arial Nova" w:hAnsi="Arial Nova" w:cstheme="minorHAnsi"/>
        </w:rPr>
        <w:t xml:space="preserve">  </w:t>
      </w:r>
      <w:r>
        <w:rPr>
          <w:rFonts w:ascii="Arial Nova" w:hAnsi="Arial Nova" w:cstheme="minorHAnsi"/>
        </w:rPr>
        <w:t xml:space="preserve">  </w:t>
      </w:r>
    </w:p>
    <w:p w14:paraId="5FF174A7" w14:textId="23FA310F" w:rsidR="007E01D2" w:rsidRDefault="007E01D2" w:rsidP="00D43D76">
      <w:pPr>
        <w:spacing w:after="0" w:line="240" w:lineRule="auto"/>
        <w:jc w:val="both"/>
        <w:rPr>
          <w:rFonts w:ascii="Arial Nova" w:hAnsi="Arial Nova" w:cstheme="minorHAnsi"/>
        </w:rPr>
      </w:pPr>
    </w:p>
    <w:p w14:paraId="5038BFD9" w14:textId="21815D4F" w:rsidR="00AC775F" w:rsidRDefault="00AC775F" w:rsidP="00AC775F">
      <w:pPr>
        <w:spacing w:after="0" w:line="240" w:lineRule="auto"/>
        <w:jc w:val="both"/>
        <w:rPr>
          <w:rFonts w:ascii="Arial Nova" w:hAnsi="Arial Nova" w:cstheme="minorHAnsi"/>
        </w:rPr>
      </w:pPr>
      <w:r w:rsidRPr="00AC775F">
        <w:rPr>
          <w:rFonts w:ascii="Arial Nova" w:hAnsi="Arial Nova" w:cstheme="minorHAnsi"/>
        </w:rPr>
        <w:t xml:space="preserve">IHC has a clear strategy of enhancing its portfolio through acquisitions, strategic investments, restructuring, consolidation, diversification, and divesting.  Comprising more than </w:t>
      </w:r>
      <w:r w:rsidR="0092184A">
        <w:rPr>
          <w:rFonts w:ascii="Arial Nova" w:hAnsi="Arial Nova" w:cstheme="minorHAnsi"/>
        </w:rPr>
        <w:t>25</w:t>
      </w:r>
      <w:r w:rsidRPr="00AC775F">
        <w:rPr>
          <w:rFonts w:ascii="Arial Nova" w:hAnsi="Arial Nova" w:cstheme="minorHAnsi"/>
        </w:rPr>
        <w:t xml:space="preserve"> entities, </w:t>
      </w:r>
      <w:r w:rsidR="00BF3116">
        <w:rPr>
          <w:rFonts w:ascii="Arial Nova" w:hAnsi="Arial Nova" w:cstheme="minorHAnsi"/>
        </w:rPr>
        <w:t>the current</w:t>
      </w:r>
      <w:r w:rsidRPr="00AC775F">
        <w:rPr>
          <w:rFonts w:ascii="Arial Nova" w:hAnsi="Arial Nova" w:cstheme="minorHAnsi"/>
        </w:rPr>
        <w:t xml:space="preserve"> six vertical segments</w:t>
      </w:r>
      <w:r w:rsidR="00BF3116">
        <w:rPr>
          <w:rFonts w:ascii="Arial Nova" w:hAnsi="Arial Nova" w:cstheme="minorHAnsi"/>
        </w:rPr>
        <w:t xml:space="preserve">: </w:t>
      </w:r>
      <w:r w:rsidRPr="00AC775F">
        <w:rPr>
          <w:rFonts w:ascii="Arial Nova" w:hAnsi="Arial Nova" w:cstheme="minorHAnsi"/>
        </w:rPr>
        <w:t xml:space="preserve">Industrial, Capital, Digital, Food, Utilities and Real Estate will </w:t>
      </w:r>
      <w:r w:rsidR="00BF3116">
        <w:rPr>
          <w:rFonts w:ascii="Arial Nova" w:hAnsi="Arial Nova" w:cstheme="minorHAnsi"/>
        </w:rPr>
        <w:t xml:space="preserve">be </w:t>
      </w:r>
      <w:r w:rsidRPr="00AC775F">
        <w:rPr>
          <w:rFonts w:ascii="Arial Nova" w:hAnsi="Arial Nova" w:cstheme="minorHAnsi"/>
        </w:rPr>
        <w:t>expand</w:t>
      </w:r>
      <w:r w:rsidR="00BF3116">
        <w:rPr>
          <w:rFonts w:ascii="Arial Nova" w:hAnsi="Arial Nova" w:cstheme="minorHAnsi"/>
        </w:rPr>
        <w:t xml:space="preserve">ed </w:t>
      </w:r>
      <w:r w:rsidRPr="00AC775F">
        <w:rPr>
          <w:rFonts w:ascii="Arial Nova" w:hAnsi="Arial Nova" w:cstheme="minorHAnsi"/>
        </w:rPr>
        <w:t xml:space="preserve">in 2021 to include Education, Leisure and Retail, Agriculture and Healthcare. </w:t>
      </w:r>
      <w:r w:rsidR="00336019">
        <w:rPr>
          <w:rFonts w:ascii="Arial Nova" w:hAnsi="Arial Nova" w:cstheme="minorHAnsi"/>
        </w:rPr>
        <w:t>The Company will continue to</w:t>
      </w:r>
      <w:r w:rsidRPr="00AC775F">
        <w:rPr>
          <w:rFonts w:ascii="Arial Nova" w:hAnsi="Arial Nova" w:cstheme="minorHAnsi"/>
        </w:rPr>
        <w:t xml:space="preserve"> enhance shareholder value </w:t>
      </w:r>
      <w:r w:rsidR="00A94089">
        <w:rPr>
          <w:rFonts w:ascii="Arial Nova" w:hAnsi="Arial Nova" w:cstheme="minorHAnsi"/>
        </w:rPr>
        <w:t>through</w:t>
      </w:r>
      <w:r w:rsidRPr="00AC775F">
        <w:rPr>
          <w:rFonts w:ascii="Arial Nova" w:hAnsi="Arial Nova" w:cstheme="minorHAnsi"/>
        </w:rPr>
        <w:t xml:space="preserve"> growth, operational synergies and maximize cost efficiencies. </w:t>
      </w:r>
      <w:r w:rsidR="00CC4475">
        <w:rPr>
          <w:rFonts w:ascii="Arial Nova" w:hAnsi="Arial Nova" w:cstheme="minorHAnsi"/>
        </w:rPr>
        <w:t>It will</w:t>
      </w:r>
      <w:r w:rsidRPr="00AC775F">
        <w:rPr>
          <w:rFonts w:ascii="Arial Nova" w:hAnsi="Arial Nova" w:cstheme="minorHAnsi"/>
        </w:rPr>
        <w:t xml:space="preserve"> also continue to evaluate investment opportunities through direct ownership and entering partnerships in the UAE and abroad.</w:t>
      </w:r>
    </w:p>
    <w:p w14:paraId="1CA1CD11" w14:textId="77777777" w:rsidR="00AC775F" w:rsidRDefault="00AC775F" w:rsidP="00D43D76">
      <w:pPr>
        <w:spacing w:after="0" w:line="240" w:lineRule="auto"/>
        <w:jc w:val="both"/>
        <w:rPr>
          <w:rFonts w:ascii="Arial Nova" w:hAnsi="Arial Nova" w:cstheme="minorHAnsi"/>
        </w:rPr>
      </w:pPr>
    </w:p>
    <w:p w14:paraId="3289140B" w14:textId="1B6F816E" w:rsidR="008C7817" w:rsidRDefault="008C7817" w:rsidP="008C7817">
      <w:pPr>
        <w:spacing w:after="0" w:line="240" w:lineRule="auto"/>
        <w:jc w:val="both"/>
        <w:rPr>
          <w:rFonts w:ascii="Arial Nova" w:hAnsi="Arial Nova" w:cstheme="minorHAnsi"/>
        </w:rPr>
      </w:pPr>
      <w:r>
        <w:rPr>
          <w:rFonts w:ascii="Arial Nova" w:hAnsi="Arial Nova" w:cstheme="minorHAnsi"/>
        </w:rPr>
        <w:t xml:space="preserve">IHC’s total assets increased to AED 14 billion as at 31 December 2020, from AED 4 billion a year earlier. The company held cash and cash equivalents of </w:t>
      </w:r>
      <w:r w:rsidRPr="00720291">
        <w:rPr>
          <w:rFonts w:ascii="Arial Nova" w:hAnsi="Arial Nova" w:cstheme="minorHAnsi"/>
        </w:rPr>
        <w:t>AED</w:t>
      </w:r>
      <w:r w:rsidR="00350305" w:rsidRPr="00720291">
        <w:rPr>
          <w:rFonts w:ascii="Arial Nova" w:hAnsi="Arial Nova" w:cstheme="minorHAnsi"/>
        </w:rPr>
        <w:t xml:space="preserve"> </w:t>
      </w:r>
      <w:r w:rsidR="000A3B37" w:rsidRPr="00720291">
        <w:rPr>
          <w:rFonts w:ascii="Arial Nova" w:hAnsi="Arial Nova" w:cstheme="minorHAnsi"/>
        </w:rPr>
        <w:t>3.7</w:t>
      </w:r>
      <w:r w:rsidRPr="00720291">
        <w:rPr>
          <w:rFonts w:ascii="Arial Nova" w:hAnsi="Arial Nova" w:cstheme="minorHAnsi"/>
        </w:rPr>
        <w:t xml:space="preserve"> billion</w:t>
      </w:r>
      <w:r>
        <w:rPr>
          <w:rFonts w:ascii="Arial Nova" w:hAnsi="Arial Nova" w:cstheme="minorHAnsi"/>
        </w:rPr>
        <w:t xml:space="preserve"> at the end of 2020. </w:t>
      </w:r>
    </w:p>
    <w:p w14:paraId="2479AD73" w14:textId="77777777" w:rsidR="008C7817" w:rsidRPr="00D43D76" w:rsidRDefault="008C7817" w:rsidP="00D43D76">
      <w:pPr>
        <w:spacing w:after="0" w:line="240" w:lineRule="auto"/>
        <w:jc w:val="both"/>
        <w:rPr>
          <w:rFonts w:ascii="Arial Nova" w:hAnsi="Arial Nova" w:cstheme="minorHAnsi"/>
        </w:rPr>
      </w:pPr>
    </w:p>
    <w:p w14:paraId="18530EA0" w14:textId="77777777" w:rsidR="008C7817" w:rsidRDefault="008C7817" w:rsidP="00D43D76">
      <w:pPr>
        <w:spacing w:after="0" w:line="240" w:lineRule="auto"/>
        <w:jc w:val="both"/>
        <w:rPr>
          <w:rFonts w:ascii="Arial Nova" w:hAnsi="Arial Nova" w:cstheme="minorHAnsi"/>
          <w:b/>
          <w:bCs/>
        </w:rPr>
      </w:pPr>
    </w:p>
    <w:p w14:paraId="4593FDE9" w14:textId="77777777" w:rsidR="008C7817" w:rsidRDefault="008C7817" w:rsidP="00D43D76">
      <w:pPr>
        <w:spacing w:after="0" w:line="240" w:lineRule="auto"/>
        <w:jc w:val="both"/>
        <w:rPr>
          <w:rFonts w:ascii="Arial Nova" w:hAnsi="Arial Nova" w:cstheme="minorHAnsi"/>
          <w:b/>
          <w:bCs/>
        </w:rPr>
      </w:pPr>
    </w:p>
    <w:p w14:paraId="3C821E3B" w14:textId="77777777" w:rsidR="003C724D" w:rsidRDefault="003C724D" w:rsidP="00D43D76">
      <w:pPr>
        <w:spacing w:after="0" w:line="240" w:lineRule="auto"/>
        <w:jc w:val="both"/>
        <w:rPr>
          <w:rFonts w:ascii="Arial Nova" w:hAnsi="Arial Nova" w:cstheme="minorHAnsi"/>
        </w:rPr>
      </w:pPr>
    </w:p>
    <w:p w14:paraId="4F60A57B" w14:textId="4E2F01B0" w:rsidR="004A327A" w:rsidRPr="003C724D" w:rsidRDefault="004A327A" w:rsidP="00D43D76">
      <w:pPr>
        <w:spacing w:after="0" w:line="240" w:lineRule="auto"/>
        <w:jc w:val="both"/>
        <w:rPr>
          <w:rFonts w:ascii="Arial Nova" w:hAnsi="Arial Nova" w:cstheme="minorHAnsi"/>
          <w:b/>
          <w:bCs/>
        </w:rPr>
      </w:pPr>
      <w:r w:rsidRPr="003C724D">
        <w:rPr>
          <w:rFonts w:ascii="Arial Nova" w:hAnsi="Arial Nova" w:cstheme="minorHAnsi"/>
          <w:b/>
          <w:bCs/>
        </w:rPr>
        <w:t>International Holding Company</w:t>
      </w:r>
    </w:p>
    <w:p w14:paraId="2890FF1D" w14:textId="4CF6A86C" w:rsidR="004A327A" w:rsidRPr="00D43D76" w:rsidRDefault="004A327A" w:rsidP="00D43D76">
      <w:pPr>
        <w:spacing w:after="0" w:line="240" w:lineRule="auto"/>
        <w:jc w:val="both"/>
        <w:rPr>
          <w:rFonts w:ascii="Arial Nova" w:hAnsi="Arial Nova" w:cstheme="minorHAnsi"/>
        </w:rPr>
      </w:pPr>
      <w:r w:rsidRPr="00D43D76">
        <w:rPr>
          <w:rFonts w:ascii="Arial Nova" w:hAnsi="Arial Nova" w:cstheme="minorHAnsi"/>
        </w:rPr>
        <w:t xml:space="preserve">IHC was founded in 1998, as part of an initiative to diversify and grow non-oil business sectors in the UAE.  Adhering to ‘Abu Dhabi’s Vision 2030’, the ADX listed company </w:t>
      </w:r>
      <w:r w:rsidR="002C1664" w:rsidRPr="00D43D76">
        <w:rPr>
          <w:rFonts w:ascii="Arial Nova" w:hAnsi="Arial Nova" w:cstheme="minorHAnsi"/>
        </w:rPr>
        <w:t>endeavours to</w:t>
      </w:r>
      <w:r w:rsidRPr="00D43D76">
        <w:rPr>
          <w:rFonts w:ascii="Arial Nova" w:hAnsi="Arial Nova" w:cstheme="minorHAnsi"/>
        </w:rPr>
        <w:t xml:space="preserve"> implement sustainability, innovation, and economic diversification initiatives</w:t>
      </w:r>
      <w:r w:rsidR="003F1150" w:rsidRPr="00D43D76">
        <w:rPr>
          <w:rFonts w:ascii="Arial Nova" w:hAnsi="Arial Nova" w:cstheme="minorHAnsi"/>
        </w:rPr>
        <w:t xml:space="preserve"> across what is now one of </w:t>
      </w:r>
      <w:r w:rsidR="00AB3EDB" w:rsidRPr="00D43D76">
        <w:rPr>
          <w:rFonts w:ascii="Arial Nova" w:hAnsi="Arial Nova" w:cstheme="minorHAnsi"/>
        </w:rPr>
        <w:t>the region’s</w:t>
      </w:r>
      <w:r w:rsidR="003F1150" w:rsidRPr="00D43D76">
        <w:rPr>
          <w:rFonts w:ascii="Arial Nova" w:hAnsi="Arial Nova" w:cstheme="minorHAnsi"/>
        </w:rPr>
        <w:t xml:space="preserve"> largest conglomerates.</w:t>
      </w:r>
    </w:p>
    <w:p w14:paraId="215AFE28" w14:textId="77777777" w:rsidR="004A327A" w:rsidRPr="00D43D76" w:rsidRDefault="004A327A" w:rsidP="00D43D76">
      <w:pPr>
        <w:spacing w:after="0" w:line="240" w:lineRule="auto"/>
        <w:jc w:val="both"/>
        <w:rPr>
          <w:rFonts w:ascii="Arial Nova" w:hAnsi="Arial Nova" w:cstheme="minorHAnsi"/>
        </w:rPr>
      </w:pPr>
    </w:p>
    <w:p w14:paraId="588C8778" w14:textId="1F291445" w:rsidR="004A327A" w:rsidRPr="00D43D76" w:rsidRDefault="004A327A" w:rsidP="00D43D76">
      <w:pPr>
        <w:spacing w:after="0" w:line="240" w:lineRule="auto"/>
        <w:jc w:val="both"/>
        <w:rPr>
          <w:rFonts w:ascii="Arial Nova" w:hAnsi="Arial Nova" w:cstheme="minorHAnsi"/>
        </w:rPr>
      </w:pPr>
      <w:r w:rsidRPr="00D43D76">
        <w:rPr>
          <w:rFonts w:ascii="Arial Nova" w:hAnsi="Arial Nova" w:cstheme="minorHAnsi"/>
        </w:rPr>
        <w:t xml:space="preserve">IHC has a clear objective of enhancing its portfolio through acquisitions, strategic investments, and business combinations. </w:t>
      </w:r>
      <w:r w:rsidR="003F1150" w:rsidRPr="00D43D76">
        <w:rPr>
          <w:rFonts w:ascii="Arial Nova" w:hAnsi="Arial Nova" w:cstheme="minorHAnsi"/>
        </w:rPr>
        <w:t>C</w:t>
      </w:r>
      <w:r w:rsidRPr="00D43D76">
        <w:rPr>
          <w:rFonts w:ascii="Arial Nova" w:hAnsi="Arial Nova" w:cstheme="minorHAnsi"/>
        </w:rPr>
        <w:t>ompris</w:t>
      </w:r>
      <w:r w:rsidR="003F1150" w:rsidRPr="00D43D76">
        <w:rPr>
          <w:rFonts w:ascii="Arial Nova" w:hAnsi="Arial Nova" w:cstheme="minorHAnsi"/>
        </w:rPr>
        <w:t>ing</w:t>
      </w:r>
      <w:r w:rsidRPr="00D43D76">
        <w:rPr>
          <w:rFonts w:ascii="Arial Nova" w:hAnsi="Arial Nova" w:cstheme="minorHAnsi"/>
        </w:rPr>
        <w:t xml:space="preserve"> more </w:t>
      </w:r>
      <w:r w:rsidRPr="00720291">
        <w:rPr>
          <w:rFonts w:ascii="Arial Nova" w:hAnsi="Arial Nova" w:cstheme="minorHAnsi"/>
        </w:rPr>
        <w:t xml:space="preserve">than </w:t>
      </w:r>
      <w:r w:rsidR="00C05424" w:rsidRPr="00720291">
        <w:rPr>
          <w:rFonts w:ascii="Arial Nova" w:hAnsi="Arial Nova" w:cstheme="minorHAnsi"/>
        </w:rPr>
        <w:t>25</w:t>
      </w:r>
      <w:r w:rsidRPr="00720291">
        <w:rPr>
          <w:rFonts w:ascii="Arial Nova" w:hAnsi="Arial Nova" w:cstheme="minorHAnsi"/>
        </w:rPr>
        <w:t xml:space="preserve"> entities</w:t>
      </w:r>
      <w:r w:rsidRPr="00415590">
        <w:rPr>
          <w:rFonts w:ascii="Arial Nova" w:hAnsi="Arial Nova" w:cstheme="minorHAnsi"/>
        </w:rPr>
        <w:t>, IH</w:t>
      </w:r>
      <w:r w:rsidRPr="00D43D76">
        <w:rPr>
          <w:rFonts w:ascii="Arial Nova" w:hAnsi="Arial Nova" w:cstheme="minorHAnsi"/>
        </w:rPr>
        <w:t>C seek</w:t>
      </w:r>
      <w:r w:rsidR="002C1664" w:rsidRPr="00D43D76">
        <w:rPr>
          <w:rFonts w:ascii="Arial Nova" w:hAnsi="Arial Nova" w:cstheme="minorHAnsi"/>
        </w:rPr>
        <w:t>s</w:t>
      </w:r>
      <w:r w:rsidRPr="00D43D76">
        <w:rPr>
          <w:rFonts w:ascii="Arial Nova" w:hAnsi="Arial Nova" w:cstheme="minorHAnsi"/>
        </w:rPr>
        <w:t xml:space="preserve"> to expand and diversify its holdings across a growing number of sectors, including Real Estate, Agriculture, </w:t>
      </w:r>
      <w:r w:rsidR="00AB3EDB" w:rsidRPr="00D43D76">
        <w:rPr>
          <w:rFonts w:ascii="Arial Nova" w:hAnsi="Arial Nova" w:cstheme="minorHAnsi"/>
        </w:rPr>
        <w:t xml:space="preserve">Healthcare, </w:t>
      </w:r>
      <w:r w:rsidRPr="00D43D76">
        <w:rPr>
          <w:rFonts w:ascii="Arial Nova" w:hAnsi="Arial Nova" w:cstheme="minorHAnsi"/>
        </w:rPr>
        <w:t>Food and Beverage, Utilities, Industries, IT and Communications, Retail and Leisure, and Capital.</w:t>
      </w:r>
    </w:p>
    <w:p w14:paraId="2773AB1F" w14:textId="77777777" w:rsidR="004A327A" w:rsidRPr="00D43D76" w:rsidRDefault="004A327A" w:rsidP="00D43D76">
      <w:pPr>
        <w:spacing w:after="0" w:line="240" w:lineRule="auto"/>
        <w:jc w:val="both"/>
        <w:rPr>
          <w:rFonts w:ascii="Arial Nova" w:hAnsi="Arial Nova" w:cstheme="minorHAnsi"/>
        </w:rPr>
      </w:pPr>
    </w:p>
    <w:p w14:paraId="1DC600C6" w14:textId="2C424D6F" w:rsidR="00E714DE" w:rsidRDefault="004A327A" w:rsidP="00D43D76">
      <w:pPr>
        <w:spacing w:after="0" w:line="240" w:lineRule="auto"/>
        <w:jc w:val="both"/>
        <w:rPr>
          <w:rFonts w:ascii="Arial Nova" w:hAnsi="Arial Nova" w:cstheme="minorHAnsi"/>
        </w:rPr>
      </w:pPr>
      <w:r w:rsidRPr="00D43D76">
        <w:rPr>
          <w:rFonts w:ascii="Arial Nova" w:hAnsi="Arial Nova" w:cstheme="minorHAnsi"/>
        </w:rPr>
        <w:t xml:space="preserve">With a core strategy to enhance shareholder value and achieve growth, IHC drives operational synergies and maximizes cost efficiencies across all verticals – it also continues to evaluate investment opportunities through direct ownership and entering partnerships in the UAE and abroad. As the world changes, and new opportunities arise, IHC remains focused on resilience, innovation and redefining the marketplace for </w:t>
      </w:r>
      <w:r w:rsidR="00AB3EDB" w:rsidRPr="00D43D76">
        <w:rPr>
          <w:rFonts w:ascii="Arial Nova" w:hAnsi="Arial Nova" w:cstheme="minorHAnsi"/>
        </w:rPr>
        <w:t>itself</w:t>
      </w:r>
      <w:r w:rsidRPr="00D43D76">
        <w:rPr>
          <w:rFonts w:ascii="Arial Nova" w:hAnsi="Arial Nova" w:cstheme="minorHAnsi"/>
        </w:rPr>
        <w:t xml:space="preserve">, </w:t>
      </w:r>
      <w:r w:rsidR="00AB3EDB" w:rsidRPr="00D43D76">
        <w:rPr>
          <w:rFonts w:ascii="Arial Nova" w:hAnsi="Arial Nova" w:cstheme="minorHAnsi"/>
        </w:rPr>
        <w:t>its clie</w:t>
      </w:r>
      <w:r w:rsidR="005F5CE3" w:rsidRPr="00D43D76">
        <w:rPr>
          <w:rFonts w:ascii="Arial Nova" w:hAnsi="Arial Nova" w:cstheme="minorHAnsi"/>
        </w:rPr>
        <w:t>n</w:t>
      </w:r>
      <w:r w:rsidR="00AB3EDB" w:rsidRPr="00D43D76">
        <w:rPr>
          <w:rFonts w:ascii="Arial Nova" w:hAnsi="Arial Nova" w:cstheme="minorHAnsi"/>
        </w:rPr>
        <w:t>ts</w:t>
      </w:r>
      <w:r w:rsidRPr="00D43D76">
        <w:rPr>
          <w:rFonts w:ascii="Arial Nova" w:hAnsi="Arial Nova" w:cstheme="minorHAnsi"/>
        </w:rPr>
        <w:t xml:space="preserve"> and </w:t>
      </w:r>
      <w:r w:rsidR="00AB3EDB" w:rsidRPr="00D43D76">
        <w:rPr>
          <w:rFonts w:ascii="Arial Nova" w:hAnsi="Arial Nova" w:cstheme="minorHAnsi"/>
        </w:rPr>
        <w:t xml:space="preserve">its </w:t>
      </w:r>
      <w:r w:rsidRPr="00D43D76">
        <w:rPr>
          <w:rFonts w:ascii="Arial Nova" w:hAnsi="Arial Nova" w:cstheme="minorHAnsi"/>
        </w:rPr>
        <w:t>partners</w:t>
      </w:r>
      <w:r w:rsidR="00B57405" w:rsidRPr="00D43D76">
        <w:rPr>
          <w:rFonts w:ascii="Arial Nova" w:hAnsi="Arial Nova" w:cstheme="minorHAnsi"/>
        </w:rPr>
        <w:t>.</w:t>
      </w:r>
    </w:p>
    <w:p w14:paraId="06A153D3" w14:textId="7619777A" w:rsidR="003C724D" w:rsidRDefault="003C724D" w:rsidP="00D43D76">
      <w:pPr>
        <w:spacing w:after="0" w:line="240" w:lineRule="auto"/>
        <w:jc w:val="both"/>
        <w:rPr>
          <w:rFonts w:ascii="Arial Nova" w:hAnsi="Arial Nova" w:cstheme="minorHAnsi"/>
        </w:rPr>
      </w:pPr>
    </w:p>
    <w:p w14:paraId="6C64D38F" w14:textId="77777777" w:rsidR="00720291" w:rsidRDefault="00720291" w:rsidP="003C724D">
      <w:pPr>
        <w:spacing w:after="0" w:line="240" w:lineRule="auto"/>
        <w:jc w:val="both"/>
        <w:rPr>
          <w:rFonts w:ascii="Arial Nova" w:hAnsi="Arial Nova" w:cstheme="minorHAnsi"/>
          <w:b/>
          <w:bCs/>
        </w:rPr>
      </w:pPr>
    </w:p>
    <w:p w14:paraId="09975967" w14:textId="77777777" w:rsidR="00720291" w:rsidRDefault="00720291" w:rsidP="003C724D">
      <w:pPr>
        <w:spacing w:after="0" w:line="240" w:lineRule="auto"/>
        <w:jc w:val="both"/>
        <w:rPr>
          <w:rFonts w:ascii="Arial Nova" w:hAnsi="Arial Nova" w:cstheme="minorHAnsi"/>
          <w:b/>
          <w:bCs/>
        </w:rPr>
      </w:pPr>
    </w:p>
    <w:p w14:paraId="24F27CC9" w14:textId="73150CC2" w:rsidR="003C724D" w:rsidRPr="002A1E95" w:rsidRDefault="003C724D" w:rsidP="003C724D">
      <w:pPr>
        <w:spacing w:after="0" w:line="240" w:lineRule="auto"/>
        <w:jc w:val="both"/>
        <w:rPr>
          <w:rFonts w:ascii="Arial Nova" w:hAnsi="Arial Nova" w:cstheme="minorHAnsi"/>
          <w:b/>
          <w:bCs/>
        </w:rPr>
      </w:pPr>
      <w:r w:rsidRPr="002A1E95">
        <w:rPr>
          <w:rFonts w:ascii="Arial Nova" w:hAnsi="Arial Nova" w:cstheme="minorHAnsi"/>
          <w:b/>
          <w:bCs/>
        </w:rPr>
        <w:t>Contact details:</w:t>
      </w:r>
    </w:p>
    <w:p w14:paraId="05A9F786" w14:textId="77777777" w:rsidR="003C724D" w:rsidRPr="00D43D76" w:rsidRDefault="003C724D" w:rsidP="003C724D">
      <w:pPr>
        <w:spacing w:after="0" w:line="240" w:lineRule="auto"/>
        <w:jc w:val="both"/>
        <w:rPr>
          <w:rFonts w:ascii="Arial Nova" w:hAnsi="Arial Nova" w:cstheme="minorHAnsi"/>
        </w:rPr>
      </w:pPr>
      <w:r w:rsidRPr="00D43D76">
        <w:rPr>
          <w:rFonts w:ascii="Arial Nova" w:hAnsi="Arial Nova" w:cstheme="minorHAnsi"/>
        </w:rPr>
        <w:t>Linda Ballout</w:t>
      </w:r>
    </w:p>
    <w:p w14:paraId="6489949D" w14:textId="77777777" w:rsidR="003C724D" w:rsidRDefault="003C724D" w:rsidP="003C724D">
      <w:pPr>
        <w:spacing w:after="0" w:line="240" w:lineRule="auto"/>
        <w:jc w:val="both"/>
        <w:rPr>
          <w:rFonts w:ascii="Arial Nova" w:hAnsi="Arial Nova" w:cstheme="minorHAnsi"/>
        </w:rPr>
      </w:pPr>
      <w:r w:rsidRPr="00D43D76">
        <w:rPr>
          <w:rFonts w:ascii="Arial Nova" w:hAnsi="Arial Nova" w:cstheme="minorHAnsi"/>
        </w:rPr>
        <w:t>International Holding Company PJSC</w:t>
      </w:r>
    </w:p>
    <w:p w14:paraId="0D172913" w14:textId="77777777" w:rsidR="003C724D" w:rsidRPr="00D43D76" w:rsidRDefault="003C724D" w:rsidP="003C724D">
      <w:pPr>
        <w:spacing w:after="0" w:line="240" w:lineRule="auto"/>
        <w:jc w:val="both"/>
        <w:rPr>
          <w:rFonts w:ascii="Arial Nova" w:hAnsi="Arial Nova" w:cstheme="minorHAnsi"/>
        </w:rPr>
      </w:pPr>
      <w:r w:rsidRPr="00D43D76">
        <w:rPr>
          <w:rFonts w:ascii="Arial Nova" w:hAnsi="Arial Nova" w:cstheme="minorHAnsi"/>
        </w:rPr>
        <w:t xml:space="preserve">Investor Relations Officer </w:t>
      </w:r>
    </w:p>
    <w:p w14:paraId="4C8F6FCE" w14:textId="77777777" w:rsidR="003C724D" w:rsidRPr="00D43D76" w:rsidRDefault="003C724D" w:rsidP="003C724D">
      <w:pPr>
        <w:spacing w:after="0" w:line="240" w:lineRule="auto"/>
        <w:jc w:val="both"/>
        <w:rPr>
          <w:rFonts w:ascii="Arial Nova" w:hAnsi="Arial Nova" w:cstheme="minorHAnsi"/>
        </w:rPr>
      </w:pPr>
      <w:r w:rsidRPr="00D43D76">
        <w:rPr>
          <w:rFonts w:ascii="Arial Nova" w:hAnsi="Arial Nova" w:cstheme="minorHAnsi"/>
        </w:rPr>
        <w:t>E-mail</w:t>
      </w:r>
      <w:r>
        <w:rPr>
          <w:rFonts w:ascii="Arial Nova" w:hAnsi="Arial Nova" w:cstheme="minorHAnsi"/>
        </w:rPr>
        <w:t xml:space="preserve">: </w:t>
      </w:r>
      <w:hyperlink r:id="rId8" w:history="1">
        <w:r w:rsidRPr="00EF0427">
          <w:rPr>
            <w:rStyle w:val="Hyperlink"/>
            <w:rFonts w:ascii="Arial Nova" w:hAnsi="Arial Nova" w:cstheme="minorHAnsi"/>
          </w:rPr>
          <w:t>info@ihcuae.com</w:t>
        </w:r>
      </w:hyperlink>
      <w:r>
        <w:rPr>
          <w:rFonts w:ascii="Arial Nova" w:hAnsi="Arial Nova" w:cstheme="minorHAnsi"/>
        </w:rPr>
        <w:t xml:space="preserve"> </w:t>
      </w:r>
    </w:p>
    <w:p w14:paraId="4A097B81" w14:textId="77777777" w:rsidR="003C724D" w:rsidRPr="00D43D76" w:rsidRDefault="003C724D" w:rsidP="00D43D76">
      <w:pPr>
        <w:spacing w:after="0" w:line="240" w:lineRule="auto"/>
        <w:jc w:val="both"/>
        <w:rPr>
          <w:rFonts w:ascii="Arial Nova" w:hAnsi="Arial Nova" w:cstheme="minorHAnsi"/>
        </w:rPr>
      </w:pPr>
    </w:p>
    <w:sectPr w:rsidR="003C724D" w:rsidRPr="00D43D76" w:rsidSect="00595092">
      <w:headerReference w:type="default" r:id="rId9"/>
      <w:footerReference w:type="default" r:id="rId10"/>
      <w:pgSz w:w="11906" w:h="16838"/>
      <w:pgMar w:top="2726"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440C4" w14:textId="77777777" w:rsidR="00351343" w:rsidRDefault="00351343" w:rsidP="00A3083B">
      <w:pPr>
        <w:spacing w:after="0" w:line="240" w:lineRule="auto"/>
      </w:pPr>
      <w:r>
        <w:separator/>
      </w:r>
    </w:p>
  </w:endnote>
  <w:endnote w:type="continuationSeparator" w:id="0">
    <w:p w14:paraId="404C4443" w14:textId="77777777" w:rsidR="00351343" w:rsidRDefault="00351343" w:rsidP="00A3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933864"/>
      <w:docPartObj>
        <w:docPartGallery w:val="Page Numbers (Bottom of Page)"/>
        <w:docPartUnique/>
      </w:docPartObj>
    </w:sdtPr>
    <w:sdtEndPr>
      <w:rPr>
        <w:noProof/>
      </w:rPr>
    </w:sdtEndPr>
    <w:sdtContent>
      <w:p w14:paraId="078E4638" w14:textId="42F679BE" w:rsidR="00A25C42" w:rsidRDefault="00A25C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56D7C" w14:textId="77777777" w:rsidR="00A25C42" w:rsidRDefault="00A2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654E6" w14:textId="77777777" w:rsidR="00351343" w:rsidRDefault="00351343" w:rsidP="00A3083B">
      <w:pPr>
        <w:spacing w:after="0" w:line="240" w:lineRule="auto"/>
      </w:pPr>
      <w:r>
        <w:separator/>
      </w:r>
    </w:p>
  </w:footnote>
  <w:footnote w:type="continuationSeparator" w:id="0">
    <w:p w14:paraId="3237C860" w14:textId="77777777" w:rsidR="00351343" w:rsidRDefault="00351343" w:rsidP="00A30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846C" w14:textId="1CABFCEA" w:rsidR="00022A91" w:rsidRPr="00BE5B66" w:rsidRDefault="00D66110" w:rsidP="00BE5B66">
    <w:pPr>
      <w:pStyle w:val="Header"/>
    </w:pPr>
    <w:r>
      <w:rPr>
        <w:noProof/>
      </w:rPr>
      <w:drawing>
        <wp:inline distT="0" distB="0" distL="0" distR="0" wp14:anchorId="0D1268EA" wp14:editId="164F8C90">
          <wp:extent cx="1114425" cy="1143000"/>
          <wp:effectExtent l="0" t="0" r="9525" b="0"/>
          <wp:docPr id="1" name="Picture 1" descr="A picture containing g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game&#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7077"/>
    <w:multiLevelType w:val="hybridMultilevel"/>
    <w:tmpl w:val="C2B66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251DD"/>
    <w:multiLevelType w:val="hybridMultilevel"/>
    <w:tmpl w:val="B8ECC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69461E"/>
    <w:multiLevelType w:val="hybridMultilevel"/>
    <w:tmpl w:val="47EEE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D00204"/>
    <w:multiLevelType w:val="hybridMultilevel"/>
    <w:tmpl w:val="EFB46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803291"/>
    <w:multiLevelType w:val="hybridMultilevel"/>
    <w:tmpl w:val="40404A76"/>
    <w:lvl w:ilvl="0" w:tplc="D9CA95D4">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B06448"/>
    <w:multiLevelType w:val="hybridMultilevel"/>
    <w:tmpl w:val="CD18947E"/>
    <w:lvl w:ilvl="0" w:tplc="D9CA95D4">
      <w:start w:val="1"/>
      <w:numFmt w:val="bullet"/>
      <w:lvlText w:val=""/>
      <w:lvlJc w:val="left"/>
      <w:pPr>
        <w:ind w:left="788" w:hanging="428"/>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8C487B"/>
    <w:multiLevelType w:val="hybridMultilevel"/>
    <w:tmpl w:val="EFFC1D0E"/>
    <w:lvl w:ilvl="0" w:tplc="D396DA94">
      <w:numFmt w:val="bullet"/>
      <w:lvlText w:val="•"/>
      <w:lvlJc w:val="left"/>
      <w:pPr>
        <w:ind w:left="788" w:hanging="428"/>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544573"/>
    <w:multiLevelType w:val="hybridMultilevel"/>
    <w:tmpl w:val="16609F66"/>
    <w:lvl w:ilvl="0" w:tplc="D892F000">
      <w:numFmt w:val="bullet"/>
      <w:lvlText w:val="•"/>
      <w:lvlJc w:val="left"/>
      <w:pPr>
        <w:ind w:left="788" w:hanging="428"/>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095E67"/>
    <w:multiLevelType w:val="hybridMultilevel"/>
    <w:tmpl w:val="A7505704"/>
    <w:lvl w:ilvl="0" w:tplc="D396DA94">
      <w:numFmt w:val="bullet"/>
      <w:lvlText w:val="•"/>
      <w:lvlJc w:val="left"/>
      <w:pPr>
        <w:ind w:left="788" w:hanging="428"/>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21470"/>
    <w:multiLevelType w:val="hybridMultilevel"/>
    <w:tmpl w:val="707CD490"/>
    <w:lvl w:ilvl="0" w:tplc="D9CA95D4">
      <w:start w:val="1"/>
      <w:numFmt w:val="bullet"/>
      <w:lvlText w:val=""/>
      <w:lvlJc w:val="left"/>
      <w:pPr>
        <w:ind w:left="788" w:hanging="428"/>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87365"/>
    <w:multiLevelType w:val="hybridMultilevel"/>
    <w:tmpl w:val="BC8AB4AE"/>
    <w:lvl w:ilvl="0" w:tplc="08090001">
      <w:start w:val="1"/>
      <w:numFmt w:val="bullet"/>
      <w:lvlText w:val=""/>
      <w:lvlJc w:val="left"/>
      <w:pPr>
        <w:ind w:left="720" w:hanging="360"/>
      </w:pPr>
      <w:rPr>
        <w:rFonts w:ascii="Symbol" w:hAnsi="Symbol" w:hint="default"/>
      </w:rPr>
    </w:lvl>
    <w:lvl w:ilvl="1" w:tplc="EA3A57F0">
      <w:start w:val="1"/>
      <w:numFmt w:val="bullet"/>
      <w:lvlText w:val=""/>
      <w:lvlJc w:val="left"/>
      <w:pPr>
        <w:ind w:left="1440" w:hanging="360"/>
      </w:pPr>
      <w:rPr>
        <w:rFonts w:ascii="Wingdings" w:hAnsi="Wingdings" w:hint="default"/>
        <w:sz w:val="16"/>
        <w:szCs w:val="16"/>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E8657C"/>
    <w:multiLevelType w:val="multilevel"/>
    <w:tmpl w:val="24C85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3226BC"/>
    <w:multiLevelType w:val="hybridMultilevel"/>
    <w:tmpl w:val="6BC6F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892914"/>
    <w:multiLevelType w:val="hybridMultilevel"/>
    <w:tmpl w:val="5F2CA3A2"/>
    <w:lvl w:ilvl="0" w:tplc="D396DA94">
      <w:numFmt w:val="bullet"/>
      <w:lvlText w:val="•"/>
      <w:lvlJc w:val="left"/>
      <w:pPr>
        <w:ind w:left="788" w:hanging="428"/>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CD65BC"/>
    <w:multiLevelType w:val="hybridMultilevel"/>
    <w:tmpl w:val="5E88EBFE"/>
    <w:lvl w:ilvl="0" w:tplc="0C090001">
      <w:start w:val="1"/>
      <w:numFmt w:val="bullet"/>
      <w:lvlText w:val=""/>
      <w:lvlJc w:val="left"/>
      <w:pPr>
        <w:ind w:left="788" w:hanging="428"/>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3"/>
  </w:num>
  <w:num w:numId="5">
    <w:abstractNumId w:val="12"/>
  </w:num>
  <w:num w:numId="6">
    <w:abstractNumId w:val="4"/>
  </w:num>
  <w:num w:numId="7">
    <w:abstractNumId w:val="7"/>
  </w:num>
  <w:num w:numId="8">
    <w:abstractNumId w:val="5"/>
  </w:num>
  <w:num w:numId="9">
    <w:abstractNumId w:val="9"/>
  </w:num>
  <w:num w:numId="10">
    <w:abstractNumId w:val="14"/>
  </w:num>
  <w:num w:numId="11">
    <w:abstractNumId w:val="11"/>
  </w:num>
  <w:num w:numId="12">
    <w:abstractNumId w:val="1"/>
  </w:num>
  <w:num w:numId="13">
    <w:abstractNumId w:val="10"/>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29"/>
    <w:rsid w:val="00001B43"/>
    <w:rsid w:val="00010124"/>
    <w:rsid w:val="00022817"/>
    <w:rsid w:val="00022A91"/>
    <w:rsid w:val="0002408E"/>
    <w:rsid w:val="00026E0A"/>
    <w:rsid w:val="000A3B37"/>
    <w:rsid w:val="000A6DFB"/>
    <w:rsid w:val="000D1439"/>
    <w:rsid w:val="000E000D"/>
    <w:rsid w:val="000E2CE5"/>
    <w:rsid w:val="000E45D9"/>
    <w:rsid w:val="000F0929"/>
    <w:rsid w:val="000F42B8"/>
    <w:rsid w:val="000F54F5"/>
    <w:rsid w:val="00100979"/>
    <w:rsid w:val="0013618E"/>
    <w:rsid w:val="0013748E"/>
    <w:rsid w:val="00146D18"/>
    <w:rsid w:val="001622B6"/>
    <w:rsid w:val="00172DE3"/>
    <w:rsid w:val="00184A76"/>
    <w:rsid w:val="001951B0"/>
    <w:rsid w:val="001B09DE"/>
    <w:rsid w:val="001B65EA"/>
    <w:rsid w:val="001C3469"/>
    <w:rsid w:val="001C5817"/>
    <w:rsid w:val="001C7884"/>
    <w:rsid w:val="001D68D0"/>
    <w:rsid w:val="001F414A"/>
    <w:rsid w:val="00200700"/>
    <w:rsid w:val="00221168"/>
    <w:rsid w:val="002242F4"/>
    <w:rsid w:val="00225AFA"/>
    <w:rsid w:val="002A1688"/>
    <w:rsid w:val="002A1E95"/>
    <w:rsid w:val="002B4570"/>
    <w:rsid w:val="002C1664"/>
    <w:rsid w:val="002C394E"/>
    <w:rsid w:val="002C5CE9"/>
    <w:rsid w:val="002D4DE2"/>
    <w:rsid w:val="00305A74"/>
    <w:rsid w:val="00310FE5"/>
    <w:rsid w:val="0032654A"/>
    <w:rsid w:val="00336019"/>
    <w:rsid w:val="003400DC"/>
    <w:rsid w:val="00350305"/>
    <w:rsid w:val="00351343"/>
    <w:rsid w:val="003768C8"/>
    <w:rsid w:val="00376A29"/>
    <w:rsid w:val="00376A50"/>
    <w:rsid w:val="0038032C"/>
    <w:rsid w:val="003B74DA"/>
    <w:rsid w:val="003C0241"/>
    <w:rsid w:val="003C6142"/>
    <w:rsid w:val="003C724D"/>
    <w:rsid w:val="003D24A9"/>
    <w:rsid w:val="003D2F73"/>
    <w:rsid w:val="003F1150"/>
    <w:rsid w:val="00400CD1"/>
    <w:rsid w:val="00405B99"/>
    <w:rsid w:val="00415590"/>
    <w:rsid w:val="004403B9"/>
    <w:rsid w:val="00463D14"/>
    <w:rsid w:val="00464E9D"/>
    <w:rsid w:val="00477C66"/>
    <w:rsid w:val="0048231E"/>
    <w:rsid w:val="0048667E"/>
    <w:rsid w:val="00490933"/>
    <w:rsid w:val="004925B1"/>
    <w:rsid w:val="004A21C0"/>
    <w:rsid w:val="004A327A"/>
    <w:rsid w:val="004C241B"/>
    <w:rsid w:val="004E3EC2"/>
    <w:rsid w:val="004E6DED"/>
    <w:rsid w:val="00504022"/>
    <w:rsid w:val="00512EAB"/>
    <w:rsid w:val="005230F2"/>
    <w:rsid w:val="00525BD2"/>
    <w:rsid w:val="00533E9C"/>
    <w:rsid w:val="005451E6"/>
    <w:rsid w:val="00555069"/>
    <w:rsid w:val="00576C7A"/>
    <w:rsid w:val="0059278B"/>
    <w:rsid w:val="00595092"/>
    <w:rsid w:val="005C5650"/>
    <w:rsid w:val="005D6D7E"/>
    <w:rsid w:val="005E25C3"/>
    <w:rsid w:val="005E535D"/>
    <w:rsid w:val="005F22F5"/>
    <w:rsid w:val="005F5CE3"/>
    <w:rsid w:val="006138D6"/>
    <w:rsid w:val="00641603"/>
    <w:rsid w:val="00652B90"/>
    <w:rsid w:val="006544DB"/>
    <w:rsid w:val="00661075"/>
    <w:rsid w:val="00661700"/>
    <w:rsid w:val="006728A1"/>
    <w:rsid w:val="00673F38"/>
    <w:rsid w:val="00675B64"/>
    <w:rsid w:val="006A2A7E"/>
    <w:rsid w:val="006C2765"/>
    <w:rsid w:val="006F4799"/>
    <w:rsid w:val="007134D1"/>
    <w:rsid w:val="007143E4"/>
    <w:rsid w:val="00720291"/>
    <w:rsid w:val="0072708D"/>
    <w:rsid w:val="00727AA4"/>
    <w:rsid w:val="0073455D"/>
    <w:rsid w:val="0075625E"/>
    <w:rsid w:val="00763253"/>
    <w:rsid w:val="00776172"/>
    <w:rsid w:val="00777D84"/>
    <w:rsid w:val="007923F6"/>
    <w:rsid w:val="00794F04"/>
    <w:rsid w:val="007A29C9"/>
    <w:rsid w:val="007A69AF"/>
    <w:rsid w:val="007E01D2"/>
    <w:rsid w:val="007E5768"/>
    <w:rsid w:val="007F25AA"/>
    <w:rsid w:val="00804183"/>
    <w:rsid w:val="0081114D"/>
    <w:rsid w:val="00842687"/>
    <w:rsid w:val="00860D8B"/>
    <w:rsid w:val="008764FF"/>
    <w:rsid w:val="00884980"/>
    <w:rsid w:val="0089087D"/>
    <w:rsid w:val="008A23D0"/>
    <w:rsid w:val="008C3982"/>
    <w:rsid w:val="008C7817"/>
    <w:rsid w:val="008D3098"/>
    <w:rsid w:val="008E1A15"/>
    <w:rsid w:val="008F2187"/>
    <w:rsid w:val="008F66C7"/>
    <w:rsid w:val="0090561E"/>
    <w:rsid w:val="00914965"/>
    <w:rsid w:val="009209D3"/>
    <w:rsid w:val="0092184A"/>
    <w:rsid w:val="00934944"/>
    <w:rsid w:val="00950419"/>
    <w:rsid w:val="009506BE"/>
    <w:rsid w:val="00960043"/>
    <w:rsid w:val="00966D77"/>
    <w:rsid w:val="00970F37"/>
    <w:rsid w:val="009A1A79"/>
    <w:rsid w:val="009B4B3E"/>
    <w:rsid w:val="009C37D2"/>
    <w:rsid w:val="009D03FB"/>
    <w:rsid w:val="009E130B"/>
    <w:rsid w:val="009E4CCE"/>
    <w:rsid w:val="00A022A1"/>
    <w:rsid w:val="00A04336"/>
    <w:rsid w:val="00A06036"/>
    <w:rsid w:val="00A22372"/>
    <w:rsid w:val="00A228EE"/>
    <w:rsid w:val="00A25C42"/>
    <w:rsid w:val="00A3083B"/>
    <w:rsid w:val="00A455B9"/>
    <w:rsid w:val="00A545B3"/>
    <w:rsid w:val="00A630A3"/>
    <w:rsid w:val="00A637BE"/>
    <w:rsid w:val="00A768DD"/>
    <w:rsid w:val="00A915BC"/>
    <w:rsid w:val="00A94089"/>
    <w:rsid w:val="00AB3EDB"/>
    <w:rsid w:val="00AB59B8"/>
    <w:rsid w:val="00AC082D"/>
    <w:rsid w:val="00AC775F"/>
    <w:rsid w:val="00AD1B3F"/>
    <w:rsid w:val="00AE6937"/>
    <w:rsid w:val="00B0008C"/>
    <w:rsid w:val="00B11AB7"/>
    <w:rsid w:val="00B22479"/>
    <w:rsid w:val="00B47E4B"/>
    <w:rsid w:val="00B508A3"/>
    <w:rsid w:val="00B57365"/>
    <w:rsid w:val="00B57405"/>
    <w:rsid w:val="00B666B5"/>
    <w:rsid w:val="00B729A5"/>
    <w:rsid w:val="00BA6BD4"/>
    <w:rsid w:val="00BA700B"/>
    <w:rsid w:val="00BC7ED1"/>
    <w:rsid w:val="00BE5B66"/>
    <w:rsid w:val="00BE767B"/>
    <w:rsid w:val="00BF3116"/>
    <w:rsid w:val="00C05424"/>
    <w:rsid w:val="00C12770"/>
    <w:rsid w:val="00C229EA"/>
    <w:rsid w:val="00C36BD8"/>
    <w:rsid w:val="00C40FAD"/>
    <w:rsid w:val="00C47F02"/>
    <w:rsid w:val="00C56BE0"/>
    <w:rsid w:val="00C64FBF"/>
    <w:rsid w:val="00C84E5D"/>
    <w:rsid w:val="00C87CC5"/>
    <w:rsid w:val="00CC08AA"/>
    <w:rsid w:val="00CC4475"/>
    <w:rsid w:val="00CC78D2"/>
    <w:rsid w:val="00CD77D6"/>
    <w:rsid w:val="00CF0C8F"/>
    <w:rsid w:val="00CF61A9"/>
    <w:rsid w:val="00D07305"/>
    <w:rsid w:val="00D237B9"/>
    <w:rsid w:val="00D242D0"/>
    <w:rsid w:val="00D37686"/>
    <w:rsid w:val="00D37910"/>
    <w:rsid w:val="00D42ED9"/>
    <w:rsid w:val="00D43D76"/>
    <w:rsid w:val="00D45369"/>
    <w:rsid w:val="00D66110"/>
    <w:rsid w:val="00D82477"/>
    <w:rsid w:val="00D826A1"/>
    <w:rsid w:val="00D90984"/>
    <w:rsid w:val="00DA38D3"/>
    <w:rsid w:val="00DA39C9"/>
    <w:rsid w:val="00DA5175"/>
    <w:rsid w:val="00DB747A"/>
    <w:rsid w:val="00DC334A"/>
    <w:rsid w:val="00DD098D"/>
    <w:rsid w:val="00DD6BBE"/>
    <w:rsid w:val="00DF1340"/>
    <w:rsid w:val="00E0196B"/>
    <w:rsid w:val="00E14F2E"/>
    <w:rsid w:val="00E27C2F"/>
    <w:rsid w:val="00E36E09"/>
    <w:rsid w:val="00E57698"/>
    <w:rsid w:val="00E714DE"/>
    <w:rsid w:val="00E72EDC"/>
    <w:rsid w:val="00E74CF0"/>
    <w:rsid w:val="00E813A9"/>
    <w:rsid w:val="00EA237D"/>
    <w:rsid w:val="00EB4B5C"/>
    <w:rsid w:val="00EB5136"/>
    <w:rsid w:val="00ED100A"/>
    <w:rsid w:val="00ED7B04"/>
    <w:rsid w:val="00EE2813"/>
    <w:rsid w:val="00EF65AF"/>
    <w:rsid w:val="00F02B7E"/>
    <w:rsid w:val="00F25F52"/>
    <w:rsid w:val="00F41906"/>
    <w:rsid w:val="00F44E2A"/>
    <w:rsid w:val="00F514AE"/>
    <w:rsid w:val="00F533F7"/>
    <w:rsid w:val="00F552A5"/>
    <w:rsid w:val="00F56AA3"/>
    <w:rsid w:val="00F628AE"/>
    <w:rsid w:val="00F63110"/>
    <w:rsid w:val="00F67DAC"/>
    <w:rsid w:val="00F90E9A"/>
    <w:rsid w:val="00FB2A07"/>
    <w:rsid w:val="00FE10B1"/>
    <w:rsid w:val="00FE489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2DC3"/>
  <w15:chartTrackingRefBased/>
  <w15:docId w15:val="{4AB2F11A-8D70-49C1-AEC0-B4063697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98D"/>
    <w:pPr>
      <w:ind w:left="720"/>
      <w:contextualSpacing/>
    </w:pPr>
  </w:style>
  <w:style w:type="paragraph" w:styleId="BalloonText">
    <w:name w:val="Balloon Text"/>
    <w:basedOn w:val="Normal"/>
    <w:link w:val="BalloonTextChar"/>
    <w:uiPriority w:val="99"/>
    <w:semiHidden/>
    <w:unhideWhenUsed/>
    <w:rsid w:val="00F56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AA3"/>
    <w:rPr>
      <w:rFonts w:ascii="Segoe UI" w:hAnsi="Segoe UI" w:cs="Segoe UI"/>
      <w:sz w:val="18"/>
      <w:szCs w:val="18"/>
    </w:rPr>
  </w:style>
  <w:style w:type="character" w:styleId="Hyperlink">
    <w:name w:val="Hyperlink"/>
    <w:basedOn w:val="DefaultParagraphFont"/>
    <w:uiPriority w:val="99"/>
    <w:unhideWhenUsed/>
    <w:qFormat/>
    <w:rsid w:val="00E714DE"/>
    <w:rPr>
      <w:color w:val="0563C1" w:themeColor="hyperlink"/>
      <w:u w:val="single"/>
    </w:rPr>
  </w:style>
  <w:style w:type="paragraph" w:styleId="Header">
    <w:name w:val="header"/>
    <w:basedOn w:val="Normal"/>
    <w:link w:val="HeaderChar"/>
    <w:uiPriority w:val="99"/>
    <w:unhideWhenUsed/>
    <w:rsid w:val="00A30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83B"/>
  </w:style>
  <w:style w:type="paragraph" w:styleId="Footer">
    <w:name w:val="footer"/>
    <w:basedOn w:val="Normal"/>
    <w:link w:val="FooterChar"/>
    <w:uiPriority w:val="99"/>
    <w:unhideWhenUsed/>
    <w:rsid w:val="00A30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83B"/>
  </w:style>
  <w:style w:type="character" w:styleId="CommentReference">
    <w:name w:val="annotation reference"/>
    <w:basedOn w:val="DefaultParagraphFont"/>
    <w:uiPriority w:val="99"/>
    <w:semiHidden/>
    <w:unhideWhenUsed/>
    <w:rsid w:val="004C241B"/>
    <w:rPr>
      <w:sz w:val="16"/>
      <w:szCs w:val="16"/>
    </w:rPr>
  </w:style>
  <w:style w:type="paragraph" w:styleId="CommentText">
    <w:name w:val="annotation text"/>
    <w:basedOn w:val="Normal"/>
    <w:link w:val="CommentTextChar"/>
    <w:uiPriority w:val="99"/>
    <w:semiHidden/>
    <w:unhideWhenUsed/>
    <w:rsid w:val="004C241B"/>
    <w:pPr>
      <w:spacing w:line="240" w:lineRule="auto"/>
    </w:pPr>
    <w:rPr>
      <w:sz w:val="20"/>
      <w:szCs w:val="20"/>
    </w:rPr>
  </w:style>
  <w:style w:type="character" w:customStyle="1" w:styleId="CommentTextChar">
    <w:name w:val="Comment Text Char"/>
    <w:basedOn w:val="DefaultParagraphFont"/>
    <w:link w:val="CommentText"/>
    <w:uiPriority w:val="99"/>
    <w:semiHidden/>
    <w:rsid w:val="004C241B"/>
    <w:rPr>
      <w:sz w:val="20"/>
      <w:szCs w:val="20"/>
    </w:rPr>
  </w:style>
  <w:style w:type="paragraph" w:styleId="CommentSubject">
    <w:name w:val="annotation subject"/>
    <w:basedOn w:val="CommentText"/>
    <w:next w:val="CommentText"/>
    <w:link w:val="CommentSubjectChar"/>
    <w:uiPriority w:val="99"/>
    <w:semiHidden/>
    <w:unhideWhenUsed/>
    <w:rsid w:val="004C241B"/>
    <w:rPr>
      <w:b/>
      <w:bCs/>
    </w:rPr>
  </w:style>
  <w:style w:type="character" w:customStyle="1" w:styleId="CommentSubjectChar">
    <w:name w:val="Comment Subject Char"/>
    <w:basedOn w:val="CommentTextChar"/>
    <w:link w:val="CommentSubject"/>
    <w:uiPriority w:val="99"/>
    <w:semiHidden/>
    <w:rsid w:val="004C241B"/>
    <w:rPr>
      <w:b/>
      <w:bCs/>
      <w:sz w:val="20"/>
      <w:szCs w:val="20"/>
    </w:rPr>
  </w:style>
  <w:style w:type="paragraph" w:styleId="Revision">
    <w:name w:val="Revision"/>
    <w:hidden/>
    <w:uiPriority w:val="99"/>
    <w:semiHidden/>
    <w:rsid w:val="004C241B"/>
    <w:pPr>
      <w:spacing w:after="0" w:line="240" w:lineRule="auto"/>
    </w:pPr>
  </w:style>
  <w:style w:type="paragraph" w:customStyle="1" w:styleId="xmsonormal">
    <w:name w:val="x_msonormal"/>
    <w:basedOn w:val="Normal"/>
    <w:rsid w:val="00DA38D3"/>
    <w:pPr>
      <w:spacing w:after="0" w:line="240" w:lineRule="auto"/>
    </w:pPr>
    <w:rPr>
      <w:rFonts w:ascii="Calibri" w:hAnsi="Calibri" w:cs="Calibri"/>
      <w:lang w:val="en-GB" w:eastAsia="en-GB"/>
    </w:rPr>
  </w:style>
  <w:style w:type="paragraph" w:customStyle="1" w:styleId="xmsolistparagraph">
    <w:name w:val="x_msolistparagraph"/>
    <w:basedOn w:val="Normal"/>
    <w:rsid w:val="00DA38D3"/>
    <w:pPr>
      <w:spacing w:after="0" w:line="240" w:lineRule="auto"/>
      <w:ind w:left="720"/>
    </w:pPr>
    <w:rPr>
      <w:rFonts w:ascii="Calibri" w:hAnsi="Calibri" w:cs="Calibri"/>
      <w:lang w:val="en-GB" w:eastAsia="en-GB"/>
    </w:rPr>
  </w:style>
  <w:style w:type="character" w:styleId="UnresolvedMention">
    <w:name w:val="Unresolved Mention"/>
    <w:basedOn w:val="DefaultParagraphFont"/>
    <w:uiPriority w:val="99"/>
    <w:semiHidden/>
    <w:unhideWhenUsed/>
    <w:rsid w:val="008C3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61194">
      <w:bodyDiv w:val="1"/>
      <w:marLeft w:val="0"/>
      <w:marRight w:val="0"/>
      <w:marTop w:val="0"/>
      <w:marBottom w:val="0"/>
      <w:divBdr>
        <w:top w:val="none" w:sz="0" w:space="0" w:color="auto"/>
        <w:left w:val="none" w:sz="0" w:space="0" w:color="auto"/>
        <w:bottom w:val="none" w:sz="0" w:space="0" w:color="auto"/>
        <w:right w:val="none" w:sz="0" w:space="0" w:color="auto"/>
      </w:divBdr>
    </w:div>
    <w:div w:id="1767269140">
      <w:bodyDiv w:val="1"/>
      <w:marLeft w:val="0"/>
      <w:marRight w:val="0"/>
      <w:marTop w:val="0"/>
      <w:marBottom w:val="0"/>
      <w:divBdr>
        <w:top w:val="none" w:sz="0" w:space="0" w:color="auto"/>
        <w:left w:val="none" w:sz="0" w:space="0" w:color="auto"/>
        <w:bottom w:val="none" w:sz="0" w:space="0" w:color="auto"/>
        <w:right w:val="none" w:sz="0" w:space="0" w:color="auto"/>
      </w:divBdr>
    </w:div>
    <w:div w:id="193180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hcua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22EE-53F3-456F-8377-B7895A96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Abraam</dc:creator>
  <cp:keywords/>
  <dc:description/>
  <cp:lastModifiedBy>Linda Ballout</cp:lastModifiedBy>
  <cp:revision>10</cp:revision>
  <cp:lastPrinted>2021-03-06T16:45:00Z</cp:lastPrinted>
  <dcterms:created xsi:type="dcterms:W3CDTF">2021-03-06T11:15:00Z</dcterms:created>
  <dcterms:modified xsi:type="dcterms:W3CDTF">2021-03-06T16:48:00Z</dcterms:modified>
</cp:coreProperties>
</file>