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70CE" w14:textId="77777777" w:rsidR="00880DC2" w:rsidRPr="003C7A32" w:rsidRDefault="00880DC2" w:rsidP="00247B0F">
      <w:pPr>
        <w:spacing w:line="276" w:lineRule="auto"/>
        <w:rPr>
          <w:rFonts w:asciiTheme="majorHAnsi" w:hAnsiTheme="majorHAnsi" w:cstheme="majorHAnsi"/>
          <w:b/>
          <w:bCs/>
          <w:color w:val="001432" w:themeColor="text1"/>
          <w:sz w:val="32"/>
          <w:szCs w:val="32"/>
        </w:rPr>
      </w:pPr>
      <w:bookmarkStart w:id="0" w:name="_Hlk69165021"/>
    </w:p>
    <w:p w14:paraId="262C6E38" w14:textId="0128FE10" w:rsidR="003C7A32" w:rsidRPr="00E2478A" w:rsidRDefault="00000000" w:rsidP="00E07A31">
      <w:pPr>
        <w:spacing w:line="276" w:lineRule="auto"/>
        <w:jc w:val="center"/>
        <w:rPr>
          <w:rFonts w:asciiTheme="majorHAnsi" w:hAnsiTheme="majorHAnsi" w:cstheme="majorHAnsi"/>
          <w:color w:val="001432" w:themeColor="text1"/>
          <w:sz w:val="40"/>
          <w:szCs w:val="40"/>
        </w:rPr>
      </w:pPr>
      <w:r w:rsidRPr="00E2478A">
        <w:rPr>
          <w:rFonts w:asciiTheme="majorHAnsi" w:hAnsiTheme="majorHAnsi" w:cstheme="majorHAnsi"/>
          <w:color w:val="001432" w:themeColor="text1"/>
          <w:sz w:val="40"/>
          <w:szCs w:val="40"/>
        </w:rPr>
        <w:t xml:space="preserve">IHC </w:t>
      </w:r>
      <w:r w:rsidR="003C7A32" w:rsidRPr="00E2478A">
        <w:rPr>
          <w:rFonts w:asciiTheme="majorHAnsi" w:hAnsiTheme="majorHAnsi" w:cstheme="majorHAnsi"/>
          <w:sz w:val="40"/>
          <w:szCs w:val="40"/>
        </w:rPr>
        <w:t xml:space="preserve">Continue to </w:t>
      </w:r>
      <w:r w:rsidR="003C7A32" w:rsidRPr="00E2478A">
        <w:rPr>
          <w:rFonts w:asciiTheme="majorHAnsi" w:hAnsiTheme="majorHAnsi" w:cstheme="majorHAnsi"/>
          <w:color w:val="001432" w:themeColor="text1"/>
          <w:sz w:val="40"/>
          <w:szCs w:val="40"/>
        </w:rPr>
        <w:t>Beat</w:t>
      </w:r>
      <w:r w:rsidR="00E07A31" w:rsidRPr="00E2478A">
        <w:rPr>
          <w:rFonts w:asciiTheme="majorHAnsi" w:hAnsiTheme="majorHAnsi" w:cstheme="majorHAnsi"/>
          <w:color w:val="001432" w:themeColor="text1"/>
          <w:sz w:val="40"/>
          <w:szCs w:val="40"/>
        </w:rPr>
        <w:t xml:space="preserve"> </w:t>
      </w:r>
      <w:r w:rsidR="003C7A32" w:rsidRPr="00E2478A">
        <w:rPr>
          <w:rFonts w:asciiTheme="majorHAnsi" w:hAnsiTheme="majorHAnsi" w:cstheme="majorHAnsi"/>
          <w:color w:val="001432" w:themeColor="text1"/>
          <w:sz w:val="40"/>
          <w:szCs w:val="40"/>
        </w:rPr>
        <w:t xml:space="preserve">Market </w:t>
      </w:r>
      <w:r w:rsidR="00647BF6" w:rsidRPr="00E2478A">
        <w:rPr>
          <w:rFonts w:asciiTheme="majorHAnsi" w:hAnsiTheme="majorHAnsi" w:cstheme="majorHAnsi"/>
          <w:color w:val="001432" w:themeColor="text1"/>
          <w:sz w:val="40"/>
          <w:szCs w:val="40"/>
        </w:rPr>
        <w:t>E</w:t>
      </w:r>
      <w:r w:rsidR="00E07A31" w:rsidRPr="00E2478A">
        <w:rPr>
          <w:rFonts w:asciiTheme="majorHAnsi" w:hAnsiTheme="majorHAnsi" w:cstheme="majorHAnsi"/>
          <w:color w:val="001432" w:themeColor="text1"/>
          <w:sz w:val="40"/>
          <w:szCs w:val="40"/>
        </w:rPr>
        <w:t xml:space="preserve">xpectations with </w:t>
      </w:r>
    </w:p>
    <w:p w14:paraId="1FB593F9" w14:textId="5CCF0B4D" w:rsidR="006E41E9" w:rsidRPr="00E2478A" w:rsidRDefault="0098429C" w:rsidP="0098429C">
      <w:pPr>
        <w:spacing w:line="276" w:lineRule="auto"/>
        <w:jc w:val="center"/>
        <w:rPr>
          <w:rFonts w:asciiTheme="majorHAnsi" w:hAnsiTheme="majorHAnsi" w:cstheme="majorHAnsi"/>
          <w:color w:val="001432" w:themeColor="text1"/>
          <w:sz w:val="40"/>
          <w:szCs w:val="40"/>
        </w:rPr>
      </w:pPr>
      <w:r w:rsidRPr="00E2478A">
        <w:rPr>
          <w:rFonts w:asciiTheme="majorHAnsi" w:hAnsiTheme="majorHAnsi" w:cstheme="majorHAnsi"/>
          <w:color w:val="001432" w:themeColor="text1"/>
          <w:sz w:val="40"/>
          <w:szCs w:val="40"/>
        </w:rPr>
        <w:t xml:space="preserve">Nine-Month </w:t>
      </w:r>
      <w:r w:rsidR="00647BF6" w:rsidRPr="00E2478A">
        <w:rPr>
          <w:rFonts w:asciiTheme="majorHAnsi" w:hAnsiTheme="majorHAnsi" w:cstheme="majorHAnsi"/>
          <w:color w:val="001432" w:themeColor="text1"/>
          <w:sz w:val="40"/>
          <w:szCs w:val="40"/>
        </w:rPr>
        <w:t>R</w:t>
      </w:r>
      <w:r w:rsidR="00E07A31" w:rsidRPr="00E2478A">
        <w:rPr>
          <w:rFonts w:asciiTheme="majorHAnsi" w:hAnsiTheme="majorHAnsi" w:cstheme="majorHAnsi"/>
          <w:color w:val="001432" w:themeColor="text1"/>
          <w:sz w:val="40"/>
          <w:szCs w:val="40"/>
        </w:rPr>
        <w:t xml:space="preserve">ecord </w:t>
      </w:r>
      <w:r w:rsidR="00647BF6" w:rsidRPr="00E2478A">
        <w:rPr>
          <w:rFonts w:asciiTheme="majorHAnsi" w:hAnsiTheme="majorHAnsi" w:cstheme="majorHAnsi"/>
          <w:color w:val="001432" w:themeColor="text1"/>
          <w:sz w:val="40"/>
          <w:szCs w:val="40"/>
        </w:rPr>
        <w:t>P</w:t>
      </w:r>
      <w:r w:rsidR="00E07A31" w:rsidRPr="00E2478A">
        <w:rPr>
          <w:rFonts w:asciiTheme="majorHAnsi" w:hAnsiTheme="majorHAnsi" w:cstheme="majorHAnsi"/>
          <w:color w:val="001432" w:themeColor="text1"/>
          <w:sz w:val="40"/>
          <w:szCs w:val="40"/>
        </w:rPr>
        <w:t xml:space="preserve">rofit of AED </w:t>
      </w:r>
      <w:r w:rsidR="00E61B3F" w:rsidRPr="00E2478A">
        <w:rPr>
          <w:rFonts w:asciiTheme="majorHAnsi" w:hAnsiTheme="majorHAnsi" w:cstheme="majorHAnsi"/>
          <w:color w:val="001432" w:themeColor="text1"/>
          <w:sz w:val="40"/>
          <w:szCs w:val="40"/>
        </w:rPr>
        <w:t>24</w:t>
      </w:r>
      <w:r w:rsidR="00E07A31" w:rsidRPr="00E2478A">
        <w:rPr>
          <w:rFonts w:asciiTheme="majorHAnsi" w:hAnsiTheme="majorHAnsi" w:cstheme="majorHAnsi"/>
          <w:color w:val="001432" w:themeColor="text1"/>
          <w:sz w:val="40"/>
          <w:szCs w:val="40"/>
        </w:rPr>
        <w:t>bn</w:t>
      </w:r>
      <w:r w:rsidRPr="00E2478A">
        <w:rPr>
          <w:rFonts w:asciiTheme="majorHAnsi" w:hAnsiTheme="majorHAnsi" w:cstheme="majorHAnsi"/>
          <w:color w:val="001432" w:themeColor="text1"/>
          <w:sz w:val="40"/>
          <w:szCs w:val="40"/>
        </w:rPr>
        <w:t xml:space="preserve"> </w:t>
      </w:r>
    </w:p>
    <w:p w14:paraId="17973FFF" w14:textId="77777777" w:rsidR="00E07A31" w:rsidRPr="00E2478A" w:rsidRDefault="00E07A31" w:rsidP="00E84B0F">
      <w:pPr>
        <w:spacing w:line="276" w:lineRule="auto"/>
        <w:rPr>
          <w:rFonts w:asciiTheme="majorHAnsi" w:hAnsiTheme="majorHAnsi" w:cstheme="majorHAnsi"/>
          <w:b/>
          <w:bCs/>
          <w:color w:val="001432" w:themeColor="text1"/>
          <w:sz w:val="28"/>
          <w:szCs w:val="28"/>
        </w:rPr>
      </w:pPr>
    </w:p>
    <w:p w14:paraId="1DF4B7C9" w14:textId="0C0CAD66" w:rsidR="00647BF6" w:rsidRPr="00E2478A" w:rsidRDefault="00647BF6" w:rsidP="00647BF6">
      <w:pPr>
        <w:pStyle w:val="ListParagraph"/>
        <w:numPr>
          <w:ilvl w:val="0"/>
          <w:numId w:val="9"/>
        </w:numPr>
        <w:spacing w:line="276" w:lineRule="auto"/>
        <w:rPr>
          <w:rFonts w:cstheme="minorHAnsi"/>
          <w:b/>
          <w:bCs/>
          <w:color w:val="0E101A"/>
          <w:sz w:val="24"/>
          <w:szCs w:val="24"/>
        </w:rPr>
      </w:pPr>
      <w:r w:rsidRPr="00E2478A">
        <w:rPr>
          <w:rFonts w:eastAsia="Times New Roman" w:cstheme="minorHAnsi"/>
          <w:b/>
          <w:bCs/>
          <w:color w:val="000000"/>
          <w:sz w:val="24"/>
          <w:szCs w:val="24"/>
        </w:rPr>
        <w:t>The results were primarily driven by</w:t>
      </w:r>
      <w:r w:rsidR="00907E28" w:rsidRPr="00E2478A">
        <w:rPr>
          <w:rFonts w:eastAsia="Times New Roman" w:cstheme="minorHAnsi"/>
          <w:b/>
          <w:bCs/>
          <w:color w:val="000000"/>
          <w:sz w:val="24"/>
          <w:szCs w:val="24"/>
        </w:rPr>
        <w:t xml:space="preserve"> IHC subsidiaries</w:t>
      </w:r>
      <w:r w:rsidR="002431D1" w:rsidRPr="00E2478A">
        <w:rPr>
          <w:rFonts w:eastAsia="Times New Roman" w:cstheme="minorHAnsi"/>
          <w:b/>
          <w:bCs/>
          <w:color w:val="000000"/>
          <w:sz w:val="24"/>
          <w:szCs w:val="24"/>
        </w:rPr>
        <w:t>’</w:t>
      </w:r>
      <w:r w:rsidR="00907E28" w:rsidRPr="00E2478A">
        <w:rPr>
          <w:rFonts w:eastAsia="Times New Roman" w:cstheme="minorHAnsi"/>
          <w:b/>
          <w:bCs/>
          <w:color w:val="000000"/>
          <w:sz w:val="24"/>
          <w:szCs w:val="24"/>
        </w:rPr>
        <w:t xml:space="preserve"> strong business performance.</w:t>
      </w:r>
    </w:p>
    <w:p w14:paraId="2D60A336" w14:textId="2194F140" w:rsidR="00647BF6" w:rsidRPr="00E2478A" w:rsidRDefault="002431D1" w:rsidP="00647BF6">
      <w:pPr>
        <w:pStyle w:val="ListParagraph"/>
        <w:numPr>
          <w:ilvl w:val="0"/>
          <w:numId w:val="9"/>
        </w:numPr>
        <w:spacing w:line="276" w:lineRule="auto"/>
        <w:rPr>
          <w:rFonts w:cstheme="minorHAnsi"/>
          <w:b/>
          <w:bCs/>
          <w:color w:val="0E101A"/>
          <w:sz w:val="24"/>
          <w:szCs w:val="24"/>
        </w:rPr>
      </w:pPr>
      <w:r w:rsidRPr="00E2478A">
        <w:rPr>
          <w:rFonts w:cstheme="minorHAnsi"/>
          <w:b/>
          <w:bCs/>
          <w:color w:val="0E101A"/>
          <w:sz w:val="24"/>
          <w:szCs w:val="24"/>
        </w:rPr>
        <w:t xml:space="preserve">IHC’s total </w:t>
      </w:r>
      <w:r w:rsidRPr="00E2478A">
        <w:rPr>
          <w:rFonts w:eastAsia="Times New Roman" w:cstheme="minorHAnsi"/>
          <w:b/>
          <w:bCs/>
          <w:sz w:val="24"/>
          <w:szCs w:val="24"/>
          <w:lang w:val="en-US"/>
        </w:rPr>
        <w:t xml:space="preserve">direct acquisitions crossed </w:t>
      </w:r>
      <w:r w:rsidRPr="00E2478A">
        <w:rPr>
          <w:rFonts w:cstheme="minorHAnsi"/>
          <w:b/>
          <w:bCs/>
          <w:color w:val="0E101A"/>
          <w:sz w:val="24"/>
          <w:szCs w:val="24"/>
        </w:rPr>
        <w:t xml:space="preserve">AED 13.3bn in Q3 2022. </w:t>
      </w:r>
    </w:p>
    <w:p w14:paraId="2C43E090" w14:textId="77777777" w:rsidR="008E40EE" w:rsidRPr="00E2478A" w:rsidRDefault="008E40EE" w:rsidP="00426D4C">
      <w:pPr>
        <w:spacing w:line="276" w:lineRule="auto"/>
        <w:ind w:left="360" w:hanging="360"/>
        <w:rPr>
          <w:rFonts w:cstheme="minorHAnsi"/>
          <w:b/>
          <w:bCs/>
          <w:color w:val="0E101A"/>
        </w:rPr>
      </w:pPr>
    </w:p>
    <w:p w14:paraId="1034E592" w14:textId="7D3128E5" w:rsidR="00C76817" w:rsidRPr="00E2478A" w:rsidRDefault="00000000" w:rsidP="00575304">
      <w:pPr>
        <w:pStyle w:val="NormalWeb"/>
        <w:spacing w:before="0" w:beforeAutospacing="0" w:after="0" w:afterAutospacing="0" w:line="276" w:lineRule="auto"/>
        <w:jc w:val="both"/>
        <w:rPr>
          <w:rFonts w:asciiTheme="minorHAnsi" w:eastAsia="Times New Roman" w:hAnsiTheme="minorHAnsi" w:cstheme="minorHAnsi"/>
          <w:lang w:val="en-US"/>
        </w:rPr>
      </w:pPr>
      <w:r w:rsidRPr="00E2478A">
        <w:rPr>
          <w:rFonts w:asciiTheme="minorHAnsi" w:hAnsiTheme="minorHAnsi" w:cstheme="minorHAnsi"/>
          <w:b/>
          <w:bCs/>
        </w:rPr>
        <w:t xml:space="preserve">Abu Dhabi, UAE; </w:t>
      </w:r>
      <w:r w:rsidR="00E07A31" w:rsidRPr="00E2478A">
        <w:rPr>
          <w:rFonts w:asciiTheme="minorHAnsi" w:hAnsiTheme="minorHAnsi" w:cstheme="minorHAnsi"/>
          <w:b/>
          <w:bCs/>
        </w:rPr>
        <w:t>Nov 0</w:t>
      </w:r>
      <w:r w:rsidR="00DA0BE2">
        <w:rPr>
          <w:rFonts w:asciiTheme="minorHAnsi" w:hAnsiTheme="minorHAnsi" w:cstheme="minorHAnsi"/>
          <w:b/>
          <w:bCs/>
        </w:rPr>
        <w:t>8</w:t>
      </w:r>
      <w:r w:rsidR="008E40EE" w:rsidRPr="00E2478A">
        <w:rPr>
          <w:rFonts w:asciiTheme="minorHAnsi" w:hAnsiTheme="minorHAnsi" w:cstheme="minorHAnsi"/>
          <w:b/>
          <w:bCs/>
        </w:rPr>
        <w:t xml:space="preserve">, </w:t>
      </w:r>
      <w:r w:rsidRPr="00E2478A">
        <w:rPr>
          <w:rFonts w:asciiTheme="minorHAnsi" w:hAnsiTheme="minorHAnsi"/>
          <w:b/>
          <w:bCs/>
          <w:rtl/>
        </w:rPr>
        <w:t>2022</w:t>
      </w:r>
      <w:r w:rsidRPr="00E2478A">
        <w:rPr>
          <w:rFonts w:asciiTheme="minorHAnsi" w:hAnsiTheme="minorHAnsi" w:cstheme="minorHAnsi"/>
          <w:b/>
          <w:bCs/>
        </w:rPr>
        <w:t>:</w:t>
      </w:r>
      <w:r w:rsidRPr="00E2478A">
        <w:rPr>
          <w:rFonts w:asciiTheme="minorHAnsi" w:hAnsiTheme="minorHAnsi" w:cstheme="minorHAnsi"/>
        </w:rPr>
        <w:t xml:space="preserve"> </w:t>
      </w:r>
      <w:bookmarkStart w:id="1" w:name="_Hlk107416639"/>
      <w:r w:rsidR="00EE3F91" w:rsidRPr="00E2478A">
        <w:rPr>
          <w:rFonts w:asciiTheme="minorHAnsi" w:eastAsia="Times New Roman" w:hAnsiTheme="minorHAnsi" w:cstheme="minorHAnsi"/>
          <w:color w:val="000000"/>
        </w:rPr>
        <w:t>International Holding Company</w:t>
      </w:r>
      <w:r w:rsidR="00C940B6" w:rsidRPr="00E2478A">
        <w:rPr>
          <w:rFonts w:asciiTheme="minorHAnsi" w:eastAsia="Times New Roman" w:hAnsiTheme="minorHAnsi" w:cstheme="minorHAnsi"/>
          <w:color w:val="000000"/>
          <w:lang w:val="en-US"/>
        </w:rPr>
        <w:t xml:space="preserve"> </w:t>
      </w:r>
      <w:r w:rsidR="00EE3F91" w:rsidRPr="00E2478A">
        <w:rPr>
          <w:rFonts w:asciiTheme="minorHAnsi" w:eastAsia="Times New Roman" w:hAnsiTheme="minorHAnsi" w:cstheme="minorHAnsi"/>
          <w:color w:val="000000"/>
        </w:rPr>
        <w:t xml:space="preserve">(ADX: IHC), </w:t>
      </w:r>
      <w:r w:rsidRPr="00E2478A">
        <w:rPr>
          <w:rFonts w:asciiTheme="minorHAnsi" w:eastAsia="Times New Roman" w:hAnsiTheme="minorHAnsi" w:cstheme="minorHAnsi"/>
          <w:color w:val="000000"/>
          <w:lang w:val="en-US"/>
        </w:rPr>
        <w:t xml:space="preserve">One of the </w:t>
      </w:r>
      <w:r w:rsidR="00631748" w:rsidRPr="00E2478A">
        <w:rPr>
          <w:rFonts w:asciiTheme="minorHAnsi" w:eastAsia="Times New Roman" w:hAnsiTheme="minorHAnsi" w:cstheme="minorHAnsi"/>
          <w:color w:val="000000"/>
          <w:lang w:val="en-US"/>
        </w:rPr>
        <w:t xml:space="preserve">largest </w:t>
      </w:r>
      <w:r w:rsidR="00DD58A7" w:rsidRPr="00E2478A">
        <w:rPr>
          <w:rFonts w:asciiTheme="minorHAnsi" w:eastAsia="Times New Roman" w:hAnsiTheme="minorHAnsi" w:cstheme="minorHAnsi"/>
          <w:color w:val="000000"/>
          <w:lang w:val="en-US"/>
        </w:rPr>
        <w:t xml:space="preserve">corporate </w:t>
      </w:r>
      <w:r w:rsidRPr="00E2478A">
        <w:rPr>
          <w:rFonts w:asciiTheme="minorHAnsi" w:eastAsia="Times New Roman" w:hAnsiTheme="minorHAnsi" w:cstheme="minorHAnsi"/>
          <w:color w:val="000000"/>
          <w:lang w:val="en-US"/>
        </w:rPr>
        <w:t xml:space="preserve">investment holding </w:t>
      </w:r>
      <w:r w:rsidR="003C7A32" w:rsidRPr="00E2478A">
        <w:rPr>
          <w:rFonts w:asciiTheme="minorHAnsi" w:eastAsia="Times New Roman" w:hAnsiTheme="minorHAnsi" w:cstheme="minorHAnsi"/>
          <w:color w:val="000000"/>
          <w:lang w:val="en-US"/>
        </w:rPr>
        <w:t>firms</w:t>
      </w:r>
      <w:r w:rsidRPr="00E2478A">
        <w:rPr>
          <w:rFonts w:asciiTheme="minorHAnsi" w:eastAsia="Times New Roman" w:hAnsiTheme="minorHAnsi" w:cstheme="minorHAnsi"/>
          <w:color w:val="000000"/>
          <w:lang w:val="en-US"/>
        </w:rPr>
        <w:t xml:space="preserve"> in the Middle East and </w:t>
      </w:r>
      <w:bookmarkEnd w:id="1"/>
      <w:r w:rsidR="00E61B3F" w:rsidRPr="00E2478A">
        <w:rPr>
          <w:rFonts w:asciiTheme="minorHAnsi" w:eastAsia="Times New Roman" w:hAnsiTheme="minorHAnsi" w:cstheme="minorHAnsi"/>
          <w:color w:val="000000"/>
          <w:lang w:val="en-US"/>
        </w:rPr>
        <w:t>Africa,</w:t>
      </w:r>
      <w:r w:rsidR="00FB2BFF" w:rsidRPr="00E2478A">
        <w:rPr>
          <w:rFonts w:asciiTheme="minorHAnsi" w:eastAsia="Times New Roman" w:hAnsiTheme="minorHAnsi" w:cstheme="minorHAnsi"/>
          <w:lang w:val="en-US"/>
        </w:rPr>
        <w:t xml:space="preserve"> </w:t>
      </w:r>
      <w:r w:rsidR="00894628" w:rsidRPr="00E2478A">
        <w:rPr>
          <w:rFonts w:asciiTheme="minorHAnsi" w:eastAsia="Times New Roman" w:hAnsiTheme="minorHAnsi" w:cstheme="minorHAnsi"/>
          <w:lang w:val="en-US"/>
        </w:rPr>
        <w:t>headquartered</w:t>
      </w:r>
      <w:r w:rsidR="00CB1BA1" w:rsidRPr="00E2478A">
        <w:rPr>
          <w:rFonts w:asciiTheme="minorHAnsi" w:eastAsia="Times New Roman" w:hAnsiTheme="minorHAnsi" w:cstheme="minorHAnsi"/>
          <w:lang w:val="en-US"/>
        </w:rPr>
        <w:t xml:space="preserve"> in Abu Dhabi, </w:t>
      </w:r>
      <w:r w:rsidR="00E61B3F" w:rsidRPr="00E2478A">
        <w:rPr>
          <w:rFonts w:asciiTheme="minorHAnsi" w:eastAsia="Times New Roman" w:hAnsiTheme="minorHAnsi" w:cstheme="minorHAnsi"/>
          <w:lang w:val="en-US"/>
        </w:rPr>
        <w:t xml:space="preserve">announced today its financial results for the third quarter ended </w:t>
      </w:r>
      <w:r w:rsidR="00E61B3F" w:rsidRPr="00E2478A">
        <w:rPr>
          <w:rFonts w:asciiTheme="minorHAnsi" w:eastAsia="Times New Roman" w:hAnsiTheme="minorHAnsi" w:cstheme="minorHAnsi"/>
          <w:b/>
          <w:bCs/>
          <w:lang w:val="en-US"/>
        </w:rPr>
        <w:t>September 30, 2022</w:t>
      </w:r>
      <w:r w:rsidR="00E61B3F" w:rsidRPr="00E2478A">
        <w:rPr>
          <w:rFonts w:asciiTheme="minorHAnsi" w:eastAsia="Times New Roman" w:hAnsiTheme="minorHAnsi" w:cstheme="minorHAnsi"/>
          <w:lang w:val="en-US"/>
        </w:rPr>
        <w:t xml:space="preserve">, with the </w:t>
      </w:r>
      <w:r w:rsidR="00E84B0F" w:rsidRPr="00E2478A">
        <w:rPr>
          <w:rFonts w:asciiTheme="minorHAnsi" w:eastAsia="Times New Roman" w:hAnsiTheme="minorHAnsi" w:cstheme="minorHAnsi"/>
          <w:b/>
          <w:bCs/>
          <w:lang w:val="en-US"/>
        </w:rPr>
        <w:t>profit surg</w:t>
      </w:r>
      <w:r w:rsidR="00E61B3F" w:rsidRPr="00E2478A">
        <w:rPr>
          <w:rFonts w:asciiTheme="minorHAnsi" w:eastAsia="Times New Roman" w:hAnsiTheme="minorHAnsi" w:cstheme="minorHAnsi"/>
          <w:b/>
          <w:bCs/>
          <w:lang w:val="en-US"/>
        </w:rPr>
        <w:t>ing</w:t>
      </w:r>
      <w:r w:rsidR="00E61B3F" w:rsidRPr="00E2478A">
        <w:rPr>
          <w:rFonts w:asciiTheme="minorHAnsi" w:eastAsia="Times New Roman" w:hAnsiTheme="minorHAnsi" w:cstheme="minorHAnsi"/>
          <w:lang w:val="en-US"/>
        </w:rPr>
        <w:t xml:space="preserve"> </w:t>
      </w:r>
      <w:r w:rsidR="00775538" w:rsidRPr="00E2478A">
        <w:rPr>
          <w:rFonts w:asciiTheme="minorHAnsi" w:eastAsia="Times New Roman" w:hAnsiTheme="minorHAnsi" w:cstheme="minorHAnsi"/>
          <w:b/>
          <w:bCs/>
          <w:lang w:val="en-US"/>
        </w:rPr>
        <w:t>2</w:t>
      </w:r>
      <w:r w:rsidR="00C76817" w:rsidRPr="00E2478A">
        <w:rPr>
          <w:rFonts w:asciiTheme="minorHAnsi" w:eastAsia="Times New Roman" w:hAnsiTheme="minorHAnsi" w:cstheme="minorHAnsi"/>
          <w:b/>
          <w:bCs/>
          <w:lang w:val="en-US"/>
        </w:rPr>
        <w:t>36</w:t>
      </w:r>
      <w:r w:rsidR="00775538" w:rsidRPr="00E2478A">
        <w:rPr>
          <w:rFonts w:asciiTheme="minorHAnsi" w:eastAsia="Times New Roman" w:hAnsiTheme="minorHAnsi" w:cstheme="minorHAnsi"/>
          <w:b/>
          <w:bCs/>
          <w:lang w:val="en-US"/>
        </w:rPr>
        <w:t xml:space="preserve">% </w:t>
      </w:r>
      <w:r w:rsidR="0098560D" w:rsidRPr="00E2478A">
        <w:rPr>
          <w:rFonts w:asciiTheme="minorHAnsi" w:eastAsia="Times New Roman" w:hAnsiTheme="minorHAnsi" w:cstheme="minorHAnsi"/>
          <w:b/>
          <w:bCs/>
          <w:lang w:val="en-US"/>
        </w:rPr>
        <w:t xml:space="preserve">for the 9-month period </w:t>
      </w:r>
      <w:r w:rsidR="00775538" w:rsidRPr="00E2478A">
        <w:rPr>
          <w:rFonts w:asciiTheme="minorHAnsi" w:eastAsia="Times New Roman" w:hAnsiTheme="minorHAnsi" w:cstheme="minorHAnsi"/>
          <w:lang w:val="en-US"/>
        </w:rPr>
        <w:t>compared to the same period last year</w:t>
      </w:r>
      <w:r w:rsidR="00E84B0F" w:rsidRPr="00E2478A">
        <w:rPr>
          <w:rFonts w:asciiTheme="minorHAnsi" w:eastAsia="Times New Roman" w:hAnsiTheme="minorHAnsi" w:cstheme="minorHAnsi"/>
          <w:lang w:val="en-US"/>
        </w:rPr>
        <w:t>, surpassing</w:t>
      </w:r>
      <w:r w:rsidR="00F64D5D" w:rsidRPr="00E2478A">
        <w:rPr>
          <w:rFonts w:asciiTheme="minorHAnsi" w:eastAsia="Times New Roman" w:hAnsiTheme="minorHAnsi" w:cstheme="minorHAnsi"/>
          <w:lang w:val="en-US"/>
        </w:rPr>
        <w:t xml:space="preserve"> </w:t>
      </w:r>
      <w:r w:rsidR="00E84B0F" w:rsidRPr="00E2478A">
        <w:rPr>
          <w:rFonts w:asciiTheme="minorHAnsi" w:eastAsia="Times New Roman" w:hAnsiTheme="minorHAnsi" w:cstheme="minorHAnsi"/>
          <w:lang w:val="en-US"/>
        </w:rPr>
        <w:t xml:space="preserve">the </w:t>
      </w:r>
      <w:r w:rsidR="00F64D5D" w:rsidRPr="00E2478A">
        <w:rPr>
          <w:rFonts w:asciiTheme="minorHAnsi" w:eastAsia="Times New Roman" w:hAnsiTheme="minorHAnsi" w:cstheme="minorHAnsi"/>
          <w:lang w:val="en-US"/>
        </w:rPr>
        <w:t>full year original profit forecast</w:t>
      </w:r>
      <w:r w:rsidR="008E015A" w:rsidRPr="00E2478A">
        <w:rPr>
          <w:rFonts w:asciiTheme="minorHAnsi" w:eastAsia="Times New Roman" w:hAnsiTheme="minorHAnsi" w:cstheme="minorHAnsi"/>
          <w:lang w:val="en-US"/>
        </w:rPr>
        <w:t xml:space="preserve"> </w:t>
      </w:r>
      <w:r w:rsidR="00F64D5D" w:rsidRPr="00E2478A">
        <w:rPr>
          <w:rFonts w:asciiTheme="minorHAnsi" w:eastAsia="Times New Roman" w:hAnsiTheme="minorHAnsi" w:cstheme="minorHAnsi"/>
          <w:lang w:val="en-US"/>
        </w:rPr>
        <w:t>(</w:t>
      </w:r>
      <w:r w:rsidR="00F64D5D" w:rsidRPr="00E2478A">
        <w:rPr>
          <w:rFonts w:asciiTheme="minorHAnsi" w:eastAsia="Times New Roman" w:hAnsiTheme="minorHAnsi" w:cstheme="minorHAnsi"/>
          <w:b/>
          <w:bCs/>
          <w:lang w:val="en-US"/>
        </w:rPr>
        <w:t>AED 17bn</w:t>
      </w:r>
      <w:r w:rsidR="00F64D5D" w:rsidRPr="00E2478A">
        <w:rPr>
          <w:rFonts w:asciiTheme="minorHAnsi" w:eastAsia="Times New Roman" w:hAnsiTheme="minorHAnsi" w:cstheme="minorHAnsi"/>
          <w:lang w:val="en-US"/>
        </w:rPr>
        <w:t>)</w:t>
      </w:r>
      <w:r w:rsidR="00E84B0F" w:rsidRPr="00E2478A">
        <w:rPr>
          <w:rFonts w:asciiTheme="minorHAnsi" w:eastAsia="Times New Roman" w:hAnsiTheme="minorHAnsi" w:cstheme="minorHAnsi"/>
          <w:lang w:val="en-US"/>
        </w:rPr>
        <w:t>.</w:t>
      </w:r>
      <w:r w:rsidR="00C76817" w:rsidRPr="00E2478A">
        <w:rPr>
          <w:rFonts w:asciiTheme="minorHAnsi" w:eastAsia="Times New Roman" w:hAnsiTheme="minorHAnsi" w:cstheme="minorHAnsi"/>
          <w:lang w:val="en-US"/>
        </w:rPr>
        <w:t xml:space="preserve"> </w:t>
      </w:r>
    </w:p>
    <w:p w14:paraId="7813F362" w14:textId="531A747E" w:rsidR="001562D2" w:rsidRPr="00E2478A" w:rsidRDefault="001562D2" w:rsidP="009F6122">
      <w:pPr>
        <w:pStyle w:val="NormalWeb"/>
        <w:spacing w:line="276" w:lineRule="auto"/>
        <w:jc w:val="both"/>
        <w:rPr>
          <w:rFonts w:asciiTheme="minorHAnsi" w:eastAsia="Times New Roman" w:hAnsiTheme="minorHAnsi" w:cstheme="minorHAnsi"/>
          <w:b/>
          <w:bCs/>
          <w:color w:val="000000"/>
        </w:rPr>
      </w:pPr>
      <w:r w:rsidRPr="00E2478A">
        <w:rPr>
          <w:rFonts w:asciiTheme="minorHAnsi" w:eastAsia="Times New Roman" w:hAnsiTheme="minorHAnsi" w:cstheme="minorHAnsi"/>
          <w:lang w:val="en-US"/>
        </w:rPr>
        <w:t>Continued momentum in</w:t>
      </w:r>
      <w:r w:rsidR="00FA502A" w:rsidRPr="00E2478A">
        <w:rPr>
          <w:rFonts w:asciiTheme="minorHAnsi" w:eastAsia="Times New Roman" w:hAnsiTheme="minorHAnsi" w:cstheme="minorHAnsi"/>
          <w:lang w:val="en-US"/>
        </w:rPr>
        <w:t xml:space="preserve"> </w:t>
      </w:r>
      <w:r w:rsidRPr="00E2478A">
        <w:rPr>
          <w:rFonts w:asciiTheme="minorHAnsi" w:eastAsia="Times New Roman" w:hAnsiTheme="minorHAnsi" w:cstheme="minorHAnsi"/>
          <w:lang w:val="en-US"/>
        </w:rPr>
        <w:t xml:space="preserve">strategic direct and indirect acquisitions, locally and internationally, were the main drivers behind the growth rate above the previous year's quarter, raising the company's total assets to </w:t>
      </w:r>
      <w:r w:rsidR="002C346A" w:rsidRPr="00E2478A">
        <w:rPr>
          <w:rFonts w:asciiTheme="minorHAnsi" w:eastAsia="Times New Roman" w:hAnsiTheme="minorHAnsi" w:cstheme="minorHAnsi"/>
          <w:b/>
          <w:bCs/>
          <w:lang w:val="en-US"/>
        </w:rPr>
        <w:t>AED 198.8bn</w:t>
      </w:r>
      <w:r w:rsidR="008479A8" w:rsidRPr="00E2478A">
        <w:rPr>
          <w:rFonts w:asciiTheme="minorHAnsi" w:eastAsia="Times New Roman" w:hAnsiTheme="minorHAnsi" w:cstheme="minorHAnsi"/>
          <w:lang w:val="en-US"/>
        </w:rPr>
        <w:t xml:space="preserve"> from </w:t>
      </w:r>
      <w:r w:rsidR="008479A8" w:rsidRPr="00E2478A">
        <w:rPr>
          <w:rFonts w:asciiTheme="minorHAnsi" w:eastAsia="Times New Roman" w:hAnsiTheme="minorHAnsi" w:cstheme="minorHAnsi"/>
          <w:b/>
          <w:bCs/>
          <w:lang w:val="en-US"/>
        </w:rPr>
        <w:t>AED 64.4</w:t>
      </w:r>
      <w:r w:rsidR="009F6122" w:rsidRPr="00E2478A">
        <w:rPr>
          <w:rFonts w:asciiTheme="minorHAnsi" w:eastAsia="Times New Roman" w:hAnsiTheme="minorHAnsi" w:cstheme="minorHAnsi"/>
          <w:b/>
          <w:bCs/>
          <w:lang w:val="en-US"/>
        </w:rPr>
        <w:t>bn</w:t>
      </w:r>
      <w:r w:rsidR="008479A8" w:rsidRPr="00E2478A">
        <w:rPr>
          <w:rFonts w:asciiTheme="minorHAnsi" w:eastAsia="Times New Roman" w:hAnsiTheme="minorHAnsi" w:cstheme="minorHAnsi"/>
          <w:lang w:val="en-US"/>
        </w:rPr>
        <w:t xml:space="preserve"> </w:t>
      </w:r>
      <w:r w:rsidR="008479A8" w:rsidRPr="00E2478A">
        <w:rPr>
          <w:rFonts w:asciiTheme="minorHAnsi" w:eastAsia="Times New Roman" w:hAnsiTheme="minorHAnsi" w:cstheme="minorHAnsi"/>
          <w:b/>
          <w:bCs/>
          <w:lang w:val="en-US"/>
        </w:rPr>
        <w:t>in Q3 2021</w:t>
      </w:r>
      <w:r w:rsidR="00575304" w:rsidRPr="00E2478A">
        <w:rPr>
          <w:rFonts w:asciiTheme="minorHAnsi" w:eastAsia="Times New Roman" w:hAnsiTheme="minorHAnsi" w:cstheme="minorHAnsi"/>
          <w:lang w:val="en-US"/>
        </w:rPr>
        <w:t>.</w:t>
      </w:r>
      <w:r w:rsidR="008479A8" w:rsidRPr="00E2478A">
        <w:rPr>
          <w:rFonts w:asciiTheme="minorHAnsi" w:eastAsia="Times New Roman" w:hAnsiTheme="minorHAnsi" w:cstheme="minorHAnsi"/>
          <w:lang w:val="en-US"/>
        </w:rPr>
        <w:t xml:space="preserve"> </w:t>
      </w:r>
    </w:p>
    <w:p w14:paraId="0C159423" w14:textId="17A8365E" w:rsidR="00C76817" w:rsidRPr="00E2478A" w:rsidRDefault="00C76817" w:rsidP="00C76817">
      <w:pPr>
        <w:pStyle w:val="NormalWeb"/>
        <w:spacing w:before="0" w:beforeAutospacing="0" w:after="0" w:afterAutospacing="0" w:line="276" w:lineRule="auto"/>
        <w:jc w:val="both"/>
        <w:rPr>
          <w:rFonts w:asciiTheme="minorHAnsi" w:eastAsia="Times New Roman" w:hAnsiTheme="minorHAnsi" w:cstheme="minorHAnsi"/>
          <w:lang w:val="en-US"/>
        </w:rPr>
      </w:pPr>
      <w:r w:rsidRPr="00E2478A">
        <w:rPr>
          <w:rFonts w:asciiTheme="minorHAnsi" w:eastAsia="Times New Roman" w:hAnsiTheme="minorHAnsi" w:cstheme="minorHAnsi"/>
          <w:lang w:val="en-US"/>
        </w:rPr>
        <w:t xml:space="preserve">“This is an outstanding result of which we can all be proud. It reflects the strength that IHC has developed in recent years. Our team's discipline, continuity, and </w:t>
      </w:r>
      <w:r w:rsidR="00575304" w:rsidRPr="00E2478A">
        <w:rPr>
          <w:rFonts w:asciiTheme="minorHAnsi" w:eastAsia="Times New Roman" w:hAnsiTheme="minorHAnsi" w:cstheme="minorHAnsi"/>
          <w:lang w:val="en-US"/>
        </w:rPr>
        <w:t>its</w:t>
      </w:r>
      <w:r w:rsidRPr="00E2478A">
        <w:rPr>
          <w:rFonts w:asciiTheme="minorHAnsi" w:eastAsia="Times New Roman" w:hAnsiTheme="minorHAnsi" w:cstheme="minorHAnsi"/>
          <w:lang w:val="en-US"/>
        </w:rPr>
        <w:t xml:space="preserve"> irrepressible will to move our organization forward are truly </w:t>
      </w:r>
      <w:proofErr w:type="gramStart"/>
      <w:r w:rsidRPr="00E2478A">
        <w:rPr>
          <w:rFonts w:asciiTheme="minorHAnsi" w:eastAsia="Times New Roman" w:hAnsiTheme="minorHAnsi" w:cstheme="minorHAnsi"/>
          <w:lang w:val="en-US"/>
        </w:rPr>
        <w:t>impressive.“</w:t>
      </w:r>
      <w:proofErr w:type="gramEnd"/>
      <w:r w:rsidRPr="00E2478A">
        <w:rPr>
          <w:rFonts w:asciiTheme="minorHAnsi" w:eastAsia="Times New Roman" w:hAnsiTheme="minorHAnsi" w:cstheme="minorHAnsi"/>
          <w:lang w:val="en-US"/>
        </w:rPr>
        <w:t xml:space="preserve"> said </w:t>
      </w:r>
      <w:r w:rsidRPr="00E2478A">
        <w:rPr>
          <w:rFonts w:asciiTheme="minorHAnsi" w:hAnsiTheme="minorHAnsi" w:cstheme="minorHAnsi"/>
          <w:b/>
          <w:bCs/>
        </w:rPr>
        <w:t xml:space="preserve">Syed </w:t>
      </w:r>
      <w:proofErr w:type="spellStart"/>
      <w:r w:rsidRPr="00E2478A">
        <w:rPr>
          <w:rFonts w:asciiTheme="minorHAnsi" w:hAnsiTheme="minorHAnsi" w:cstheme="minorHAnsi"/>
          <w:b/>
          <w:bCs/>
        </w:rPr>
        <w:t>Basar</w:t>
      </w:r>
      <w:proofErr w:type="spellEnd"/>
      <w:r w:rsidRPr="00E2478A">
        <w:rPr>
          <w:rFonts w:asciiTheme="minorHAnsi" w:hAnsiTheme="minorHAnsi" w:cstheme="minorHAnsi"/>
          <w:b/>
          <w:bCs/>
        </w:rPr>
        <w:t xml:space="preserve"> </w:t>
      </w:r>
      <w:proofErr w:type="spellStart"/>
      <w:r w:rsidRPr="00E2478A">
        <w:rPr>
          <w:rFonts w:asciiTheme="minorHAnsi" w:hAnsiTheme="minorHAnsi" w:cstheme="minorHAnsi"/>
          <w:b/>
          <w:bCs/>
        </w:rPr>
        <w:t>Shueb</w:t>
      </w:r>
      <w:proofErr w:type="spellEnd"/>
      <w:r w:rsidRPr="00E2478A">
        <w:rPr>
          <w:rFonts w:asciiTheme="minorHAnsi" w:hAnsiTheme="minorHAnsi" w:cstheme="minorHAnsi"/>
          <w:b/>
          <w:bCs/>
        </w:rPr>
        <w:t xml:space="preserve">, IHC’s Chief Executive Officer. </w:t>
      </w:r>
    </w:p>
    <w:p w14:paraId="79978EC1" w14:textId="592FAFB4" w:rsidR="009F6122" w:rsidRPr="00E2478A" w:rsidRDefault="0098560D" w:rsidP="009F6122">
      <w:pPr>
        <w:pStyle w:val="NormalWeb"/>
        <w:spacing w:line="276" w:lineRule="auto"/>
        <w:jc w:val="both"/>
        <w:rPr>
          <w:rFonts w:asciiTheme="minorHAnsi" w:eastAsia="Times New Roman" w:hAnsiTheme="minorHAnsi" w:cstheme="minorHAnsi"/>
          <w:lang w:val="en-US"/>
        </w:rPr>
      </w:pPr>
      <w:r w:rsidRPr="00E2478A">
        <w:rPr>
          <w:rFonts w:asciiTheme="minorHAnsi" w:eastAsia="Times New Roman" w:hAnsiTheme="minorHAnsi" w:cstheme="minorHAnsi"/>
          <w:lang w:val="en-US"/>
        </w:rPr>
        <w:t>IHC</w:t>
      </w:r>
      <w:r w:rsidR="00575304" w:rsidRPr="00E2478A">
        <w:rPr>
          <w:rFonts w:asciiTheme="minorHAnsi" w:eastAsia="Times New Roman" w:hAnsiTheme="minorHAnsi" w:cstheme="minorHAnsi"/>
          <w:lang w:val="en-US"/>
        </w:rPr>
        <w:t>’s</w:t>
      </w:r>
      <w:r w:rsidRPr="00E2478A">
        <w:rPr>
          <w:rFonts w:asciiTheme="minorHAnsi" w:eastAsia="Times New Roman" w:hAnsiTheme="minorHAnsi" w:cstheme="minorHAnsi"/>
          <w:lang w:val="en-US"/>
        </w:rPr>
        <w:t xml:space="preserve"> current Assets</w:t>
      </w:r>
      <w:r w:rsidR="0073535C" w:rsidRPr="00E2478A">
        <w:rPr>
          <w:rFonts w:asciiTheme="minorHAnsi" w:eastAsia="Times New Roman" w:hAnsiTheme="minorHAnsi" w:cstheme="minorHAnsi"/>
          <w:lang w:val="en-US"/>
        </w:rPr>
        <w:t xml:space="preserve">, comprising its subsidiaries, </w:t>
      </w:r>
      <w:r w:rsidRPr="00E2478A">
        <w:rPr>
          <w:rFonts w:asciiTheme="minorHAnsi" w:eastAsia="Times New Roman" w:hAnsiTheme="minorHAnsi" w:cstheme="minorHAnsi"/>
          <w:lang w:val="en-US"/>
        </w:rPr>
        <w:t xml:space="preserve">have grown by </w:t>
      </w:r>
      <w:r w:rsidRPr="00E2478A">
        <w:rPr>
          <w:rFonts w:asciiTheme="minorHAnsi" w:eastAsia="Times New Roman" w:hAnsiTheme="minorHAnsi" w:cstheme="minorHAnsi"/>
          <w:b/>
          <w:bCs/>
          <w:lang w:val="en-US"/>
        </w:rPr>
        <w:t>138% as of 30th September 2022</w:t>
      </w:r>
      <w:r w:rsidRPr="00E2478A">
        <w:rPr>
          <w:rFonts w:asciiTheme="minorHAnsi" w:eastAsia="Times New Roman" w:hAnsiTheme="minorHAnsi" w:cstheme="minorHAnsi"/>
          <w:lang w:val="en-US"/>
        </w:rPr>
        <w:t xml:space="preserve"> compared to 31st December 2021. The key contributors to the </w:t>
      </w:r>
      <w:r w:rsidR="00FA502A" w:rsidRPr="00E2478A">
        <w:rPr>
          <w:rFonts w:asciiTheme="minorHAnsi" w:eastAsia="Times New Roman" w:hAnsiTheme="minorHAnsi" w:cstheme="minorHAnsi"/>
          <w:lang w:val="en-US"/>
        </w:rPr>
        <w:t>t</w:t>
      </w:r>
      <w:r w:rsidRPr="00E2478A">
        <w:rPr>
          <w:rFonts w:asciiTheme="minorHAnsi" w:eastAsia="Times New Roman" w:hAnsiTheme="minorHAnsi" w:cstheme="minorHAnsi"/>
          <w:lang w:val="en-US"/>
        </w:rPr>
        <w:t xml:space="preserve">otal current </w:t>
      </w:r>
      <w:r w:rsidR="00FA502A" w:rsidRPr="00E2478A">
        <w:rPr>
          <w:rFonts w:asciiTheme="minorHAnsi" w:eastAsia="Times New Roman" w:hAnsiTheme="minorHAnsi" w:cstheme="minorHAnsi"/>
          <w:lang w:val="en-US"/>
        </w:rPr>
        <w:t>a</w:t>
      </w:r>
      <w:r w:rsidRPr="00E2478A">
        <w:rPr>
          <w:rFonts w:asciiTheme="minorHAnsi" w:eastAsia="Times New Roman" w:hAnsiTheme="minorHAnsi" w:cstheme="minorHAnsi"/>
          <w:lang w:val="en-US"/>
        </w:rPr>
        <w:t>ssets include Alpha Dhabi</w:t>
      </w:r>
      <w:r w:rsidR="00FA502A" w:rsidRPr="00E2478A">
        <w:rPr>
          <w:rFonts w:asciiTheme="minorHAnsi" w:eastAsia="Times New Roman" w:hAnsiTheme="minorHAnsi" w:cstheme="minorHAnsi"/>
          <w:lang w:val="en-US"/>
        </w:rPr>
        <w:t xml:space="preserve"> Holding</w:t>
      </w:r>
      <w:r w:rsidRPr="00E2478A">
        <w:rPr>
          <w:rFonts w:asciiTheme="minorHAnsi" w:eastAsia="Times New Roman" w:hAnsiTheme="minorHAnsi" w:cstheme="minorHAnsi"/>
          <w:lang w:val="en-US"/>
        </w:rPr>
        <w:t>, Q Holding, International Securities, Al Seer Marine and Multiply Group. Total cash and bank balances was AED 31.80 billion in Q3 2022 against AED 20.25 billion in 2021.</w:t>
      </w:r>
    </w:p>
    <w:p w14:paraId="164CA434" w14:textId="45797983" w:rsidR="009F6122" w:rsidRDefault="004D673F" w:rsidP="009F6122">
      <w:pPr>
        <w:pStyle w:val="NormalWeb"/>
        <w:spacing w:line="276" w:lineRule="auto"/>
        <w:jc w:val="both"/>
        <w:rPr>
          <w:rFonts w:asciiTheme="minorHAnsi" w:eastAsia="Times New Roman" w:hAnsiTheme="minorHAnsi" w:cstheme="minorHAnsi"/>
          <w:lang w:val="en-US"/>
        </w:rPr>
      </w:pPr>
      <w:r w:rsidRPr="00E2478A">
        <w:rPr>
          <w:rFonts w:asciiTheme="minorHAnsi" w:eastAsia="Times New Roman" w:hAnsiTheme="minorHAnsi" w:cstheme="minorHAnsi"/>
          <w:color w:val="000000"/>
        </w:rPr>
        <w:t>International Holding Company</w:t>
      </w:r>
      <w:r w:rsidRPr="00E2478A">
        <w:rPr>
          <w:rFonts w:asciiTheme="minorHAnsi" w:eastAsia="Times New Roman" w:hAnsiTheme="minorHAnsi" w:cstheme="minorHAnsi"/>
          <w:color w:val="000000"/>
          <w:lang w:val="en-US"/>
        </w:rPr>
        <w:t xml:space="preserve"> </w:t>
      </w:r>
      <w:r w:rsidR="007B7460" w:rsidRPr="00E2478A">
        <w:rPr>
          <w:rFonts w:asciiTheme="minorHAnsi" w:eastAsia="Times New Roman" w:hAnsiTheme="minorHAnsi" w:cstheme="minorHAnsi"/>
          <w:lang w:val="en-US"/>
        </w:rPr>
        <w:t xml:space="preserve">revenues climbed to </w:t>
      </w:r>
      <w:r w:rsidRPr="00E2478A">
        <w:rPr>
          <w:rFonts w:asciiTheme="minorHAnsi" w:eastAsia="Times New Roman" w:hAnsiTheme="minorHAnsi" w:cstheme="minorHAnsi"/>
          <w:b/>
          <w:bCs/>
          <w:lang w:val="en-US"/>
        </w:rPr>
        <w:t>AED 34.3</w:t>
      </w:r>
      <w:r w:rsidR="001619D6" w:rsidRPr="00E2478A">
        <w:rPr>
          <w:rFonts w:asciiTheme="minorHAnsi" w:eastAsia="Times New Roman" w:hAnsiTheme="minorHAnsi" w:cstheme="minorHAnsi"/>
          <w:b/>
          <w:bCs/>
          <w:lang w:val="en-US"/>
        </w:rPr>
        <w:t>bn, an increase of 87%</w:t>
      </w:r>
      <w:r w:rsidR="001619D6" w:rsidRPr="00E2478A">
        <w:rPr>
          <w:rFonts w:asciiTheme="minorHAnsi" w:eastAsia="Times New Roman" w:hAnsiTheme="minorHAnsi" w:cstheme="minorHAnsi"/>
          <w:lang w:val="en-US"/>
        </w:rPr>
        <w:t xml:space="preserve"> </w:t>
      </w:r>
      <w:r w:rsidR="007B7460" w:rsidRPr="00E2478A">
        <w:rPr>
          <w:rFonts w:asciiTheme="minorHAnsi" w:eastAsia="Times New Roman" w:hAnsiTheme="minorHAnsi" w:cstheme="minorHAnsi"/>
          <w:lang w:val="en-US"/>
        </w:rPr>
        <w:t>as the company emerged stronger in the present competitive business climate</w:t>
      </w:r>
      <w:r w:rsidRPr="00E2478A">
        <w:rPr>
          <w:rFonts w:asciiTheme="minorHAnsi" w:eastAsia="Times New Roman" w:hAnsiTheme="minorHAnsi" w:cstheme="minorHAnsi"/>
          <w:lang w:val="en-US"/>
        </w:rPr>
        <w:t xml:space="preserve"> compared to </w:t>
      </w:r>
      <w:r w:rsidRPr="00E2478A">
        <w:rPr>
          <w:rFonts w:asciiTheme="minorHAnsi" w:eastAsia="Times New Roman" w:hAnsiTheme="minorHAnsi" w:cstheme="minorHAnsi"/>
          <w:b/>
          <w:bCs/>
          <w:lang w:val="en-US"/>
        </w:rPr>
        <w:t>AED 18.3bn</w:t>
      </w:r>
      <w:r w:rsidRPr="00E2478A">
        <w:rPr>
          <w:rFonts w:asciiTheme="minorHAnsi" w:eastAsia="Times New Roman" w:hAnsiTheme="minorHAnsi" w:cstheme="minorHAnsi"/>
          <w:lang w:val="en-US"/>
        </w:rPr>
        <w:t xml:space="preserve"> </w:t>
      </w:r>
      <w:r w:rsidR="000A03E9" w:rsidRPr="00E2478A">
        <w:rPr>
          <w:rFonts w:asciiTheme="minorHAnsi" w:eastAsia="Times New Roman" w:hAnsiTheme="minorHAnsi" w:cstheme="minorHAnsi"/>
          <w:lang w:val="en-US"/>
        </w:rPr>
        <w:t>in the prior year's third quarter</w:t>
      </w:r>
      <w:r w:rsidR="000C0F24">
        <w:rPr>
          <w:rFonts w:asciiTheme="minorHAnsi" w:eastAsia="Times New Roman" w:hAnsiTheme="minorHAnsi" w:cstheme="minorHAnsi"/>
          <w:lang w:val="en-US"/>
        </w:rPr>
        <w:t>.</w:t>
      </w:r>
      <w:r w:rsidR="00E431F4" w:rsidRPr="00E2478A">
        <w:rPr>
          <w:rFonts w:asciiTheme="minorHAnsi" w:eastAsia="Times New Roman" w:hAnsiTheme="minorHAnsi" w:cstheme="minorHAnsi"/>
          <w:lang w:val="en-US"/>
        </w:rPr>
        <w:t xml:space="preserve"> </w:t>
      </w:r>
      <w:r w:rsidR="00FD73A2" w:rsidRPr="00E2478A">
        <w:rPr>
          <w:rFonts w:asciiTheme="minorHAnsi" w:hAnsiTheme="minorHAnsi" w:cstheme="minorHAnsi"/>
        </w:rPr>
        <w:t>The</w:t>
      </w:r>
      <w:r w:rsidR="00F1607C" w:rsidRPr="00E2478A">
        <w:rPr>
          <w:rFonts w:asciiTheme="minorHAnsi" w:hAnsiTheme="minorHAnsi" w:cstheme="minorHAnsi"/>
        </w:rPr>
        <w:t xml:space="preserve"> company</w:t>
      </w:r>
      <w:r w:rsidR="00FD73A2" w:rsidRPr="00E2478A">
        <w:rPr>
          <w:rFonts w:asciiTheme="minorHAnsi" w:hAnsiTheme="minorHAnsi" w:cstheme="minorHAnsi"/>
        </w:rPr>
        <w:t xml:space="preserve"> </w:t>
      </w:r>
      <w:r w:rsidR="00FD73A2" w:rsidRPr="00E2478A">
        <w:rPr>
          <w:rFonts w:asciiTheme="minorHAnsi" w:eastAsia="Times New Roman" w:hAnsiTheme="minorHAnsi" w:cstheme="minorHAnsi"/>
          <w:lang w:val="en-US"/>
        </w:rPr>
        <w:t>rise in</w:t>
      </w:r>
      <w:r w:rsidR="00F1607C" w:rsidRPr="00E2478A">
        <w:rPr>
          <w:rFonts w:asciiTheme="minorHAnsi" w:eastAsia="Times New Roman" w:hAnsiTheme="minorHAnsi" w:cstheme="minorHAnsi"/>
          <w:lang w:val="en-US"/>
        </w:rPr>
        <w:t xml:space="preserve"> </w:t>
      </w:r>
      <w:r w:rsidR="00FD73A2" w:rsidRPr="00E2478A">
        <w:rPr>
          <w:rFonts w:asciiTheme="minorHAnsi" w:eastAsia="Times New Roman" w:hAnsiTheme="minorHAnsi" w:cstheme="minorHAnsi"/>
          <w:lang w:val="en-US"/>
        </w:rPr>
        <w:t>quarterly revenues</w:t>
      </w:r>
      <w:r w:rsidR="00F1607C" w:rsidRPr="00E2478A">
        <w:rPr>
          <w:rFonts w:asciiTheme="minorHAnsi" w:eastAsia="Times New Roman" w:hAnsiTheme="minorHAnsi" w:cstheme="minorHAnsi"/>
          <w:lang w:val="en-US"/>
        </w:rPr>
        <w:t xml:space="preserve"> was </w:t>
      </w:r>
      <w:r w:rsidR="00FD73A2" w:rsidRPr="00E2478A">
        <w:rPr>
          <w:rFonts w:asciiTheme="minorHAnsi" w:eastAsia="Times New Roman" w:hAnsiTheme="minorHAnsi" w:cstheme="minorHAnsi"/>
          <w:lang w:val="en-US"/>
        </w:rPr>
        <w:t>driven by</w:t>
      </w:r>
      <w:r w:rsidR="00FD73A2" w:rsidRPr="00FD73A2">
        <w:rPr>
          <w:rFonts w:asciiTheme="minorHAnsi" w:eastAsia="Times New Roman" w:hAnsiTheme="minorHAnsi" w:cstheme="minorHAnsi"/>
          <w:lang w:val="en-US"/>
        </w:rPr>
        <w:t xml:space="preserve"> </w:t>
      </w:r>
    </w:p>
    <w:p w14:paraId="733612A4" w14:textId="77777777" w:rsidR="009F6122" w:rsidRDefault="009F6122" w:rsidP="009F6122">
      <w:pPr>
        <w:pStyle w:val="NormalWeb"/>
        <w:spacing w:line="276" w:lineRule="auto"/>
        <w:jc w:val="both"/>
        <w:rPr>
          <w:rFonts w:asciiTheme="minorHAnsi" w:eastAsia="Times New Roman" w:hAnsiTheme="minorHAnsi" w:cstheme="minorHAnsi"/>
          <w:lang w:val="en-US"/>
        </w:rPr>
      </w:pPr>
    </w:p>
    <w:p w14:paraId="61984760" w14:textId="77777777" w:rsidR="00FB0C1E" w:rsidRDefault="00FB0C1E" w:rsidP="009F6122">
      <w:pPr>
        <w:pStyle w:val="NormalWeb"/>
        <w:spacing w:line="276" w:lineRule="auto"/>
        <w:jc w:val="both"/>
        <w:rPr>
          <w:rFonts w:asciiTheme="minorHAnsi" w:eastAsia="Times New Roman" w:hAnsiTheme="minorHAnsi" w:cstheme="minorHAnsi"/>
          <w:lang w:val="en-US"/>
        </w:rPr>
      </w:pPr>
    </w:p>
    <w:p w14:paraId="55375A5B" w14:textId="29F729CF" w:rsidR="00B04111" w:rsidRPr="00FB0C1E" w:rsidRDefault="00FD73A2" w:rsidP="00FB0C1E">
      <w:pPr>
        <w:pStyle w:val="NormalWeb"/>
        <w:spacing w:line="276" w:lineRule="auto"/>
        <w:jc w:val="both"/>
        <w:rPr>
          <w:rFonts w:asciiTheme="minorHAnsi" w:eastAsia="Times New Roman" w:hAnsiTheme="minorHAnsi" w:cstheme="minorHAnsi"/>
          <w:lang w:val="en-US"/>
        </w:rPr>
      </w:pPr>
      <w:r w:rsidRPr="00FD73A2">
        <w:rPr>
          <w:rFonts w:asciiTheme="minorHAnsi" w:eastAsia="Times New Roman" w:hAnsiTheme="minorHAnsi" w:cstheme="minorHAnsi"/>
          <w:lang w:val="en-US"/>
        </w:rPr>
        <w:t xml:space="preserve">sustained demand </w:t>
      </w:r>
      <w:r>
        <w:rPr>
          <w:rFonts w:asciiTheme="minorHAnsi" w:eastAsia="Times New Roman" w:hAnsiTheme="minorHAnsi" w:cstheme="minorHAnsi"/>
          <w:lang w:val="en-US"/>
        </w:rPr>
        <w:t xml:space="preserve">across all business activities </w:t>
      </w:r>
      <w:r w:rsidR="001619D6">
        <w:rPr>
          <w:rFonts w:asciiTheme="minorHAnsi" w:eastAsia="Times New Roman" w:hAnsiTheme="minorHAnsi" w:cstheme="minorHAnsi"/>
          <w:lang w:val="en-US"/>
        </w:rPr>
        <w:t>and</w:t>
      </w:r>
      <w:r w:rsidR="00E431F4">
        <w:rPr>
          <w:rFonts w:asciiTheme="minorHAnsi" w:eastAsia="Times New Roman" w:hAnsiTheme="minorHAnsi" w:cstheme="minorHAnsi"/>
          <w:lang w:val="en-US"/>
        </w:rPr>
        <w:t xml:space="preserve"> </w:t>
      </w:r>
      <w:r w:rsidR="001619D6">
        <w:rPr>
          <w:rFonts w:asciiTheme="minorHAnsi" w:eastAsia="Times New Roman" w:hAnsiTheme="minorHAnsi" w:cstheme="minorHAnsi"/>
          <w:lang w:val="en-US"/>
        </w:rPr>
        <w:t>s</w:t>
      </w:r>
      <w:r w:rsidR="001619D6" w:rsidRPr="001619D6">
        <w:rPr>
          <w:rFonts w:asciiTheme="minorHAnsi" w:eastAsia="Times New Roman" w:hAnsiTheme="minorHAnsi" w:cstheme="minorHAnsi"/>
          <w:lang w:val="en-US"/>
        </w:rPr>
        <w:t xml:space="preserve">trategic acquisitions </w:t>
      </w:r>
      <w:r w:rsidR="001619D6">
        <w:rPr>
          <w:rFonts w:asciiTheme="minorHAnsi" w:eastAsia="Times New Roman" w:hAnsiTheme="minorHAnsi" w:cstheme="minorHAnsi"/>
          <w:lang w:val="en-US"/>
        </w:rPr>
        <w:t>in the past 12 months</w:t>
      </w:r>
      <w:r w:rsidR="00E431F4">
        <w:rPr>
          <w:rFonts w:asciiTheme="minorHAnsi" w:eastAsia="Times New Roman" w:hAnsiTheme="minorHAnsi" w:cstheme="minorHAnsi"/>
          <w:lang w:val="en-US"/>
        </w:rPr>
        <w:t>, i</w:t>
      </w:r>
      <w:r w:rsidR="001619D6" w:rsidRPr="001619D6">
        <w:rPr>
          <w:rFonts w:asciiTheme="minorHAnsi" w:eastAsia="Times New Roman" w:hAnsiTheme="minorHAnsi" w:cstheme="minorHAnsi"/>
          <w:lang w:val="en-US"/>
        </w:rPr>
        <w:t>nclud</w:t>
      </w:r>
      <w:r w:rsidR="00E431F4">
        <w:rPr>
          <w:rFonts w:asciiTheme="minorHAnsi" w:eastAsia="Times New Roman" w:hAnsiTheme="minorHAnsi" w:cstheme="minorHAnsi"/>
          <w:lang w:val="en-US"/>
        </w:rPr>
        <w:t>ing</w:t>
      </w:r>
      <w:r w:rsidR="001619D6" w:rsidRPr="001619D6">
        <w:rPr>
          <w:rFonts w:asciiTheme="minorHAnsi" w:eastAsia="Times New Roman" w:hAnsiTheme="minorHAnsi" w:cstheme="minorHAnsi"/>
          <w:lang w:val="en-US"/>
        </w:rPr>
        <w:t xml:space="preserve"> Aldar Properties PJSC, Arena Events Limited, Yas Clinic, Abu Dhabi Stem Cells Center, Reem Investments PJSC, Abu Dhabi Vegetable Oil Company (ADVOC), Ras Al Khaimah Cement Investment PJSC (RAKCIC), </w:t>
      </w:r>
      <w:proofErr w:type="spellStart"/>
      <w:r w:rsidR="001619D6" w:rsidRPr="001619D6">
        <w:rPr>
          <w:rFonts w:asciiTheme="minorHAnsi" w:eastAsia="Times New Roman" w:hAnsiTheme="minorHAnsi" w:cstheme="minorHAnsi"/>
          <w:lang w:val="en-US"/>
        </w:rPr>
        <w:t>Emircom</w:t>
      </w:r>
      <w:proofErr w:type="spellEnd"/>
      <w:r w:rsidR="001619D6" w:rsidRPr="001619D6">
        <w:rPr>
          <w:rFonts w:asciiTheme="minorHAnsi" w:eastAsia="Times New Roman" w:hAnsiTheme="minorHAnsi" w:cstheme="minorHAnsi"/>
          <w:lang w:val="en-US"/>
        </w:rPr>
        <w:t xml:space="preserve"> LLC and Cyber Gate Defense LLC.</w:t>
      </w:r>
    </w:p>
    <w:p w14:paraId="3EF134CA" w14:textId="172DBAAF" w:rsidR="00F1607C" w:rsidRPr="00B04111" w:rsidRDefault="00B04111" w:rsidP="00B04111">
      <w:pPr>
        <w:pStyle w:val="NormalWeb"/>
        <w:spacing w:before="0" w:beforeAutospacing="0" w:after="0" w:afterAutospacing="0" w:line="276" w:lineRule="auto"/>
        <w:jc w:val="both"/>
        <w:rPr>
          <w:rFonts w:asciiTheme="minorHAnsi" w:hAnsiTheme="minorHAnsi" w:cstheme="minorHAnsi"/>
          <w:b/>
          <w:bCs/>
        </w:rPr>
      </w:pPr>
      <w:r w:rsidRPr="00E74293">
        <w:rPr>
          <w:rFonts w:asciiTheme="minorHAnsi" w:hAnsiTheme="minorHAnsi" w:cstheme="minorHAnsi"/>
        </w:rPr>
        <w:t xml:space="preserve">While </w:t>
      </w:r>
      <w:r w:rsidRPr="00F55C49">
        <w:rPr>
          <w:rFonts w:asciiTheme="minorHAnsi" w:eastAsia="Times New Roman" w:hAnsiTheme="minorHAnsi" w:cstheme="minorHAnsi"/>
          <w:color w:val="000000"/>
        </w:rPr>
        <w:t>International Holding Company</w:t>
      </w:r>
      <w:r w:rsidRPr="00F55C49">
        <w:rPr>
          <w:rFonts w:asciiTheme="minorHAnsi" w:eastAsia="Times New Roman" w:hAnsiTheme="minorHAnsi" w:cstheme="minorHAnsi"/>
          <w:color w:val="000000"/>
          <w:lang w:val="en-US"/>
        </w:rPr>
        <w:t xml:space="preserve"> </w:t>
      </w:r>
      <w:r w:rsidRPr="00E74293">
        <w:rPr>
          <w:rFonts w:asciiTheme="minorHAnsi" w:hAnsiTheme="minorHAnsi" w:cstheme="minorHAnsi"/>
        </w:rPr>
        <w:t xml:space="preserve">subsidiaries are set for an aggressive growth plan in Q4, the solid nine-month business performance of the subsidiaries this year reflected positively on the </w:t>
      </w:r>
      <w:r w:rsidR="009F369E">
        <w:rPr>
          <w:rFonts w:asciiTheme="minorHAnsi" w:hAnsiTheme="minorHAnsi" w:cstheme="minorHAnsi"/>
        </w:rPr>
        <w:t>company</w:t>
      </w:r>
      <w:r w:rsidR="009F6122">
        <w:rPr>
          <w:rFonts w:asciiTheme="minorHAnsi" w:hAnsiTheme="minorHAnsi" w:cstheme="minorHAnsi"/>
        </w:rPr>
        <w:t>’s</w:t>
      </w:r>
      <w:r>
        <w:rPr>
          <w:rFonts w:asciiTheme="minorHAnsi" w:hAnsiTheme="minorHAnsi" w:cstheme="minorHAnsi"/>
        </w:rPr>
        <w:t xml:space="preserve"> Q3 results</w:t>
      </w:r>
      <w:r w:rsidRPr="00E74293">
        <w:rPr>
          <w:rFonts w:asciiTheme="minorHAnsi" w:hAnsiTheme="minorHAnsi" w:cstheme="minorHAnsi"/>
        </w:rPr>
        <w:t>.</w:t>
      </w:r>
      <w:r>
        <w:rPr>
          <w:rFonts w:asciiTheme="minorHAnsi" w:hAnsiTheme="minorHAnsi" w:cstheme="minorHAnsi"/>
          <w:b/>
          <w:bCs/>
        </w:rPr>
        <w:t xml:space="preserve"> </w:t>
      </w:r>
      <w:r w:rsidR="00C76817">
        <w:rPr>
          <w:rFonts w:asciiTheme="minorHAnsi" w:eastAsia="Times New Roman" w:hAnsiTheme="minorHAnsi" w:cstheme="minorHAnsi"/>
          <w:lang w:val="en-US"/>
        </w:rPr>
        <w:t>IHC</w:t>
      </w:r>
      <w:r w:rsidR="009F369E">
        <w:rPr>
          <w:rFonts w:asciiTheme="minorHAnsi" w:eastAsia="Times New Roman" w:hAnsiTheme="minorHAnsi" w:cstheme="minorHAnsi"/>
          <w:lang w:val="en-US"/>
        </w:rPr>
        <w:t>’s</w:t>
      </w:r>
      <w:r w:rsidR="00C76817">
        <w:rPr>
          <w:rFonts w:asciiTheme="minorHAnsi" w:eastAsia="Times New Roman" w:hAnsiTheme="minorHAnsi" w:cstheme="minorHAnsi"/>
          <w:lang w:val="en-US"/>
        </w:rPr>
        <w:t xml:space="preserve"> t</w:t>
      </w:r>
      <w:r w:rsidR="001619D6" w:rsidRPr="001619D6">
        <w:rPr>
          <w:rFonts w:asciiTheme="minorHAnsi" w:eastAsia="Times New Roman" w:hAnsiTheme="minorHAnsi" w:cstheme="minorHAnsi"/>
          <w:lang w:val="en-US"/>
        </w:rPr>
        <w:t>op five Revenue contributors include</w:t>
      </w:r>
      <w:r w:rsidR="00ED77C8">
        <w:rPr>
          <w:rFonts w:asciiTheme="minorHAnsi" w:eastAsia="Times New Roman" w:hAnsiTheme="minorHAnsi" w:cstheme="minorHAnsi"/>
          <w:lang w:val="en-US"/>
        </w:rPr>
        <w:t xml:space="preserve"> </w:t>
      </w:r>
      <w:r w:rsidR="004F5CDB" w:rsidRPr="001B2F00">
        <w:rPr>
          <w:rFonts w:asciiTheme="minorHAnsi" w:eastAsia="Times New Roman" w:hAnsiTheme="minorHAnsi" w:cstheme="minorHAnsi"/>
          <w:lang w:val="en-US"/>
        </w:rPr>
        <w:t xml:space="preserve">Energy, </w:t>
      </w:r>
      <w:r w:rsidR="00ED77C8" w:rsidRPr="001B2F00">
        <w:rPr>
          <w:rFonts w:asciiTheme="minorHAnsi" w:eastAsia="Times New Roman" w:hAnsiTheme="minorHAnsi" w:cstheme="minorHAnsi"/>
          <w:lang w:val="en-US"/>
        </w:rPr>
        <w:t xml:space="preserve">Food Sector, Health Care, Real </w:t>
      </w:r>
      <w:r w:rsidR="004F5CDB" w:rsidRPr="001B2F00">
        <w:rPr>
          <w:rFonts w:asciiTheme="minorHAnsi" w:eastAsia="Times New Roman" w:hAnsiTheme="minorHAnsi" w:cstheme="minorHAnsi"/>
          <w:lang w:val="en-US"/>
        </w:rPr>
        <w:t>Estate</w:t>
      </w:r>
      <w:r w:rsidR="001B2F00" w:rsidRPr="001B2F00">
        <w:rPr>
          <w:rFonts w:asciiTheme="minorHAnsi" w:eastAsia="Times New Roman" w:hAnsiTheme="minorHAnsi" w:cstheme="minorHAnsi"/>
          <w:lang w:val="en-US"/>
        </w:rPr>
        <w:t xml:space="preserve"> and</w:t>
      </w:r>
      <w:r w:rsidR="004F5CDB" w:rsidRPr="001B2F00">
        <w:rPr>
          <w:rFonts w:asciiTheme="minorHAnsi" w:eastAsia="Times New Roman" w:hAnsiTheme="minorHAnsi" w:cstheme="minorHAnsi"/>
          <w:lang w:val="en-US"/>
        </w:rPr>
        <w:t xml:space="preserve"> Utilities</w:t>
      </w:r>
      <w:r w:rsidR="001619D6" w:rsidRPr="001B2F00">
        <w:rPr>
          <w:rFonts w:asciiTheme="minorHAnsi" w:eastAsia="Times New Roman" w:hAnsiTheme="minorHAnsi" w:cstheme="minorHAnsi"/>
          <w:lang w:val="en-US"/>
        </w:rPr>
        <w:t xml:space="preserve"> for the nine months period ended 30th September 2022, followed by other </w:t>
      </w:r>
      <w:r w:rsidR="004F5CDB" w:rsidRPr="001B2F00">
        <w:rPr>
          <w:rFonts w:asciiTheme="minorHAnsi" w:eastAsia="Times New Roman" w:hAnsiTheme="minorHAnsi" w:cstheme="minorHAnsi"/>
          <w:lang w:val="en-US"/>
        </w:rPr>
        <w:t>business verticals of the</w:t>
      </w:r>
      <w:r w:rsidR="001619D6" w:rsidRPr="001B2F00">
        <w:rPr>
          <w:rFonts w:asciiTheme="minorHAnsi" w:eastAsia="Times New Roman" w:hAnsiTheme="minorHAnsi" w:cstheme="minorHAnsi"/>
          <w:lang w:val="en-US"/>
        </w:rPr>
        <w:t xml:space="preserve"> group</w:t>
      </w:r>
      <w:r w:rsidR="004F5CDB" w:rsidRPr="001B2F00">
        <w:rPr>
          <w:rFonts w:asciiTheme="minorHAnsi" w:eastAsia="Times New Roman" w:hAnsiTheme="minorHAnsi" w:cstheme="minorHAnsi"/>
          <w:lang w:val="en-US"/>
        </w:rPr>
        <w:t xml:space="preserve"> </w:t>
      </w:r>
      <w:r w:rsidR="001619D6" w:rsidRPr="001B2F00">
        <w:rPr>
          <w:rFonts w:asciiTheme="minorHAnsi" w:eastAsia="Times New Roman" w:hAnsiTheme="minorHAnsi" w:cstheme="minorHAnsi"/>
          <w:lang w:val="en-US"/>
        </w:rPr>
        <w:t>in the private domain.</w:t>
      </w:r>
    </w:p>
    <w:p w14:paraId="595D6B05" w14:textId="77777777" w:rsidR="00494D05" w:rsidRDefault="00494D05" w:rsidP="00494D05">
      <w:pPr>
        <w:pStyle w:val="NormalWeb"/>
        <w:spacing w:before="0" w:beforeAutospacing="0" w:after="0" w:afterAutospacing="0" w:line="276" w:lineRule="auto"/>
        <w:jc w:val="both"/>
        <w:rPr>
          <w:rFonts w:asciiTheme="minorHAnsi" w:hAnsiTheme="minorHAnsi" w:cstheme="minorHAnsi"/>
          <w:b/>
          <w:bCs/>
        </w:rPr>
      </w:pPr>
    </w:p>
    <w:p w14:paraId="08B161E1" w14:textId="6701183C" w:rsidR="00494D05" w:rsidRDefault="00ED77C8" w:rsidP="00494D05">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b/>
          <w:bCs/>
        </w:rPr>
        <w:t>Leading the Acquisition</w:t>
      </w:r>
      <w:r w:rsidR="00494D05" w:rsidRPr="00A62B80">
        <w:rPr>
          <w:rFonts w:asciiTheme="minorHAnsi" w:hAnsiTheme="minorHAnsi" w:cstheme="minorHAnsi"/>
          <w:b/>
          <w:bCs/>
        </w:rPr>
        <w:t xml:space="preserve"> Marke</w:t>
      </w:r>
      <w:r>
        <w:rPr>
          <w:rFonts w:asciiTheme="minorHAnsi" w:hAnsiTheme="minorHAnsi" w:cstheme="minorHAnsi"/>
          <w:b/>
          <w:bCs/>
        </w:rPr>
        <w:t>t</w:t>
      </w:r>
    </w:p>
    <w:p w14:paraId="1804AAD7" w14:textId="2C282D5A" w:rsidR="00494D05" w:rsidRDefault="00494D05" w:rsidP="00494D05">
      <w:pPr>
        <w:pStyle w:val="NormalWeb"/>
        <w:spacing w:before="0" w:beforeAutospacing="0" w:after="0" w:afterAutospacing="0" w:line="276" w:lineRule="auto"/>
        <w:jc w:val="both"/>
        <w:rPr>
          <w:rFonts w:asciiTheme="minorHAnsi" w:eastAsia="Times New Roman" w:hAnsiTheme="minorHAnsi" w:cstheme="minorHAnsi"/>
          <w:color w:val="000000"/>
        </w:rPr>
      </w:pPr>
      <w:r w:rsidRPr="00092E94">
        <w:rPr>
          <w:rFonts w:asciiTheme="minorHAnsi" w:eastAsia="Times New Roman" w:hAnsiTheme="minorHAnsi" w:cstheme="minorHAnsi"/>
          <w:color w:val="000000"/>
        </w:rPr>
        <w:t>International Holding Company has increased its takeover activity, including in India and Turkey.</w:t>
      </w:r>
      <w:r w:rsidR="008E015A">
        <w:rPr>
          <w:rFonts w:asciiTheme="minorHAnsi" w:eastAsia="Times New Roman" w:hAnsiTheme="minorHAnsi" w:cstheme="minorHAnsi"/>
          <w:color w:val="000000"/>
        </w:rPr>
        <w:t xml:space="preserve"> </w:t>
      </w:r>
      <w:r w:rsidRPr="00092E94">
        <w:rPr>
          <w:rFonts w:asciiTheme="minorHAnsi" w:eastAsia="Times New Roman" w:hAnsiTheme="minorHAnsi" w:cstheme="minorHAnsi"/>
          <w:color w:val="000000"/>
        </w:rPr>
        <w:t>The company</w:t>
      </w:r>
      <w:r w:rsidR="009F6122">
        <w:rPr>
          <w:rFonts w:asciiTheme="minorHAnsi" w:eastAsia="Times New Roman" w:hAnsiTheme="minorHAnsi" w:cstheme="minorHAnsi"/>
          <w:color w:val="000000"/>
        </w:rPr>
        <w:t>’s</w:t>
      </w:r>
      <w:r w:rsidRPr="00092E94">
        <w:rPr>
          <w:rFonts w:asciiTheme="minorHAnsi" w:eastAsia="Times New Roman" w:hAnsiTheme="minorHAnsi" w:cstheme="minorHAnsi"/>
          <w:color w:val="000000"/>
        </w:rPr>
        <w:t xml:space="preserve"> acquisition total value in </w:t>
      </w:r>
      <w:r w:rsidRPr="001B2F00">
        <w:rPr>
          <w:rFonts w:asciiTheme="minorHAnsi" w:eastAsia="Times New Roman" w:hAnsiTheme="minorHAnsi" w:cstheme="minorHAnsi"/>
          <w:color w:val="000000"/>
        </w:rPr>
        <w:t xml:space="preserve">Q3 2022 crossed </w:t>
      </w:r>
      <w:r w:rsidRPr="001B2F00">
        <w:rPr>
          <w:rFonts w:asciiTheme="minorHAnsi" w:eastAsia="Times New Roman" w:hAnsiTheme="minorHAnsi" w:cstheme="minorHAnsi"/>
          <w:b/>
          <w:bCs/>
          <w:color w:val="000000"/>
        </w:rPr>
        <w:t>AED 13.5bn</w:t>
      </w:r>
      <w:r w:rsidRPr="001B2F00">
        <w:rPr>
          <w:rFonts w:asciiTheme="minorHAnsi" w:eastAsia="Times New Roman" w:hAnsiTheme="minorHAnsi" w:cstheme="minorHAnsi"/>
          <w:color w:val="000000"/>
        </w:rPr>
        <w:t xml:space="preserve">, which included </w:t>
      </w:r>
      <w:r w:rsidR="009F6122" w:rsidRPr="001B2F00">
        <w:rPr>
          <w:rFonts w:asciiTheme="minorHAnsi" w:eastAsia="Times New Roman" w:hAnsiTheme="minorHAnsi" w:cstheme="minorHAnsi"/>
          <w:color w:val="000000"/>
        </w:rPr>
        <w:t xml:space="preserve">the </w:t>
      </w:r>
      <w:r w:rsidRPr="001B2F00">
        <w:rPr>
          <w:rFonts w:asciiTheme="minorHAnsi" w:eastAsia="Times New Roman" w:hAnsiTheme="minorHAnsi" w:cstheme="minorHAnsi"/>
          <w:b/>
          <w:bCs/>
          <w:color w:val="000000"/>
        </w:rPr>
        <w:t>AED 10b</w:t>
      </w:r>
      <w:r w:rsidRPr="001B2F00">
        <w:rPr>
          <w:rFonts w:asciiTheme="minorHAnsi" w:eastAsia="Times New Roman" w:hAnsiTheme="minorHAnsi" w:cstheme="minorHAnsi"/>
          <w:color w:val="000000"/>
        </w:rPr>
        <w:t xml:space="preserve"> TAQA deal, </w:t>
      </w:r>
      <w:r w:rsidRPr="001B2F00">
        <w:rPr>
          <w:rFonts w:asciiTheme="minorHAnsi" w:eastAsia="Times New Roman" w:hAnsiTheme="minorHAnsi" w:cstheme="minorHAnsi"/>
          <w:b/>
          <w:bCs/>
          <w:color w:val="000000"/>
        </w:rPr>
        <w:t>AED 1.8bn</w:t>
      </w:r>
      <w:r w:rsidRPr="001B2F00">
        <w:rPr>
          <w:rFonts w:asciiTheme="minorHAnsi" w:eastAsia="Times New Roman" w:hAnsiTheme="minorHAnsi" w:cstheme="minorHAnsi"/>
          <w:color w:val="000000"/>
        </w:rPr>
        <w:t xml:space="preserve"> in </w:t>
      </w:r>
      <w:proofErr w:type="spellStart"/>
      <w:r w:rsidRPr="001B2F00">
        <w:rPr>
          <w:rFonts w:asciiTheme="minorHAnsi" w:eastAsia="Times New Roman" w:hAnsiTheme="minorHAnsi" w:cstheme="minorHAnsi"/>
          <w:color w:val="000000"/>
        </w:rPr>
        <w:t>Kalyon</w:t>
      </w:r>
      <w:proofErr w:type="spellEnd"/>
      <w:r w:rsidRPr="001B2F00">
        <w:rPr>
          <w:rFonts w:asciiTheme="minorHAnsi" w:eastAsia="Times New Roman" w:hAnsiTheme="minorHAnsi" w:cstheme="minorHAnsi"/>
          <w:color w:val="000000"/>
        </w:rPr>
        <w:t xml:space="preserve"> </w:t>
      </w:r>
      <w:proofErr w:type="spellStart"/>
      <w:r w:rsidRPr="001B2F00">
        <w:rPr>
          <w:rFonts w:asciiTheme="minorHAnsi" w:eastAsia="Times New Roman" w:hAnsiTheme="minorHAnsi" w:cstheme="minorHAnsi"/>
          <w:color w:val="000000"/>
        </w:rPr>
        <w:t>Enerji</w:t>
      </w:r>
      <w:proofErr w:type="spellEnd"/>
      <w:r w:rsidRPr="001B2F00">
        <w:rPr>
          <w:rFonts w:asciiTheme="minorHAnsi" w:eastAsia="Times New Roman" w:hAnsiTheme="minorHAnsi" w:cstheme="minorHAnsi"/>
          <w:color w:val="000000"/>
        </w:rPr>
        <w:t xml:space="preserve"> </w:t>
      </w:r>
      <w:r w:rsidR="004F5CDB" w:rsidRPr="001B2F00">
        <w:rPr>
          <w:rFonts w:asciiTheme="minorHAnsi" w:eastAsia="Times New Roman" w:hAnsiTheme="minorHAnsi" w:cstheme="minorHAnsi"/>
          <w:color w:val="000000"/>
        </w:rPr>
        <w:t xml:space="preserve">and </w:t>
      </w:r>
      <w:r w:rsidRPr="001B2F00">
        <w:rPr>
          <w:rFonts w:asciiTheme="minorHAnsi" w:eastAsia="Times New Roman" w:hAnsiTheme="minorHAnsi" w:cstheme="minorHAnsi"/>
          <w:b/>
          <w:bCs/>
          <w:color w:val="000000"/>
        </w:rPr>
        <w:t>AED 1.5bn</w:t>
      </w:r>
      <w:r w:rsidRPr="001B2F00">
        <w:rPr>
          <w:rFonts w:asciiTheme="minorHAnsi" w:eastAsia="Times New Roman" w:hAnsiTheme="minorHAnsi" w:cstheme="minorHAnsi"/>
          <w:color w:val="000000"/>
        </w:rPr>
        <w:t xml:space="preserve"> in </w:t>
      </w:r>
      <w:proofErr w:type="spellStart"/>
      <w:r w:rsidRPr="001B2F00">
        <w:rPr>
          <w:rFonts w:asciiTheme="minorHAnsi" w:eastAsia="Times New Roman" w:hAnsiTheme="minorHAnsi" w:cstheme="minorHAnsi"/>
          <w:color w:val="000000"/>
        </w:rPr>
        <w:t>Burjeel</w:t>
      </w:r>
      <w:proofErr w:type="spellEnd"/>
      <w:r w:rsidRPr="001B2F00">
        <w:rPr>
          <w:rFonts w:asciiTheme="minorHAnsi" w:eastAsia="Times New Roman" w:hAnsiTheme="minorHAnsi" w:cstheme="minorHAnsi"/>
          <w:color w:val="000000"/>
        </w:rPr>
        <w:t xml:space="preserve"> Holding, and </w:t>
      </w:r>
      <w:r w:rsidRPr="001B2F00">
        <w:rPr>
          <w:rFonts w:asciiTheme="minorHAnsi" w:eastAsia="Times New Roman" w:hAnsiTheme="minorHAnsi" w:cstheme="minorHAnsi"/>
          <w:b/>
          <w:bCs/>
          <w:color w:val="000000"/>
        </w:rPr>
        <w:t>AED 250 million</w:t>
      </w:r>
      <w:r w:rsidRPr="001B2F00">
        <w:rPr>
          <w:rFonts w:asciiTheme="minorHAnsi" w:eastAsia="Times New Roman" w:hAnsiTheme="minorHAnsi" w:cstheme="minorHAnsi"/>
          <w:color w:val="000000"/>
        </w:rPr>
        <w:t xml:space="preserve"> </w:t>
      </w:r>
      <w:r w:rsidR="009F369E" w:rsidRPr="001B2F00">
        <w:rPr>
          <w:rFonts w:asciiTheme="minorHAnsi" w:eastAsia="Times New Roman" w:hAnsiTheme="minorHAnsi" w:cstheme="minorHAnsi"/>
          <w:color w:val="000000"/>
        </w:rPr>
        <w:t xml:space="preserve">in </w:t>
      </w:r>
      <w:proofErr w:type="spellStart"/>
      <w:r w:rsidRPr="001B2F00">
        <w:rPr>
          <w:rFonts w:asciiTheme="minorHAnsi" w:eastAsia="Times New Roman" w:hAnsiTheme="minorHAnsi" w:cstheme="minorHAnsi"/>
          <w:color w:val="000000"/>
        </w:rPr>
        <w:t>Emircom</w:t>
      </w:r>
      <w:proofErr w:type="spellEnd"/>
      <w:r w:rsidRPr="00092E94">
        <w:rPr>
          <w:rFonts w:asciiTheme="minorHAnsi" w:eastAsia="Times New Roman" w:hAnsiTheme="minorHAnsi" w:cstheme="minorHAnsi"/>
          <w:color w:val="000000"/>
        </w:rPr>
        <w:t xml:space="preserve"> while aiming for publicly listing more of its companies in ADX growth markets. IHC will continue seeking sizeable acquisitions in Q4 to boost its bottom line.</w:t>
      </w:r>
    </w:p>
    <w:p w14:paraId="061AB321" w14:textId="77777777" w:rsidR="00494D05" w:rsidRDefault="00494D05" w:rsidP="00494D05">
      <w:pPr>
        <w:pStyle w:val="NormalWeb"/>
        <w:spacing w:before="0" w:beforeAutospacing="0" w:after="0" w:afterAutospacing="0" w:line="276" w:lineRule="auto"/>
        <w:jc w:val="both"/>
        <w:rPr>
          <w:rFonts w:asciiTheme="minorHAnsi" w:eastAsia="Times New Roman" w:hAnsiTheme="minorHAnsi" w:cstheme="minorHAnsi"/>
          <w:color w:val="000000"/>
        </w:rPr>
      </w:pPr>
    </w:p>
    <w:p w14:paraId="0F4E9BC4" w14:textId="799902A2" w:rsidR="00B04111" w:rsidRDefault="00494D05" w:rsidP="00494D05">
      <w:pPr>
        <w:pStyle w:val="NormalWeb"/>
        <w:spacing w:before="0" w:beforeAutospacing="0" w:after="0" w:afterAutospacing="0" w:line="276" w:lineRule="auto"/>
        <w:jc w:val="both"/>
        <w:rPr>
          <w:rFonts w:asciiTheme="minorHAnsi" w:hAnsiTheme="minorHAnsi" w:cstheme="minorHAnsi"/>
        </w:rPr>
      </w:pPr>
      <w:r w:rsidRPr="00092E94">
        <w:rPr>
          <w:rFonts w:asciiTheme="minorHAnsi" w:hAnsiTheme="minorHAnsi" w:cstheme="minorHAnsi"/>
        </w:rPr>
        <w:t xml:space="preserve">IHC and its subsidiaries will continue to focus on their vision to build a robust and diversified operating asset-holding company through strategic acquisitions in growth-driven industries and the creation of innovative companies that add value and bring sustainable improvements to local businesses and communities in the UAE and the international territories in which </w:t>
      </w:r>
      <w:r w:rsidR="002910F5">
        <w:rPr>
          <w:rFonts w:asciiTheme="minorHAnsi" w:hAnsiTheme="minorHAnsi" w:cstheme="minorHAnsi"/>
        </w:rPr>
        <w:t xml:space="preserve">IHC </w:t>
      </w:r>
      <w:r w:rsidRPr="00092E94">
        <w:rPr>
          <w:rFonts w:asciiTheme="minorHAnsi" w:hAnsiTheme="minorHAnsi" w:cstheme="minorHAnsi"/>
        </w:rPr>
        <w:t xml:space="preserve">subsidiaries operate. IHC's key strategic pillars of growth and success </w:t>
      </w:r>
    </w:p>
    <w:p w14:paraId="1E7373C6" w14:textId="32178257" w:rsidR="00494D05" w:rsidRDefault="00494D05" w:rsidP="00B04111">
      <w:pPr>
        <w:pStyle w:val="NormalWeb"/>
        <w:spacing w:before="0" w:beforeAutospacing="0" w:after="0" w:afterAutospacing="0" w:line="276" w:lineRule="auto"/>
        <w:jc w:val="both"/>
        <w:rPr>
          <w:rFonts w:asciiTheme="minorHAnsi" w:hAnsiTheme="minorHAnsi" w:cstheme="minorHAnsi"/>
        </w:rPr>
      </w:pPr>
      <w:r w:rsidRPr="00092E94">
        <w:rPr>
          <w:rFonts w:asciiTheme="minorHAnsi" w:hAnsiTheme="minorHAnsi" w:cstheme="minorHAnsi"/>
        </w:rPr>
        <w:t xml:space="preserve">for the coming quarter will be built around strategic acquisitions, </w:t>
      </w:r>
      <w:r w:rsidR="009F6122">
        <w:rPr>
          <w:rFonts w:asciiTheme="minorHAnsi" w:hAnsiTheme="minorHAnsi" w:cstheme="minorHAnsi"/>
        </w:rPr>
        <w:t>d</w:t>
      </w:r>
      <w:r w:rsidRPr="00092E94">
        <w:rPr>
          <w:rFonts w:asciiTheme="minorHAnsi" w:hAnsiTheme="minorHAnsi" w:cstheme="minorHAnsi"/>
        </w:rPr>
        <w:t xml:space="preserve">iversification, </w:t>
      </w:r>
      <w:r w:rsidR="009F6122">
        <w:rPr>
          <w:rFonts w:asciiTheme="minorHAnsi" w:hAnsiTheme="minorHAnsi" w:cstheme="minorHAnsi"/>
        </w:rPr>
        <w:t>c</w:t>
      </w:r>
      <w:r w:rsidRPr="00092E94">
        <w:rPr>
          <w:rFonts w:asciiTheme="minorHAnsi" w:hAnsiTheme="minorHAnsi" w:cstheme="minorHAnsi"/>
        </w:rPr>
        <w:t xml:space="preserve">onsolidation, </w:t>
      </w:r>
      <w:r w:rsidR="009F6122">
        <w:rPr>
          <w:rFonts w:asciiTheme="minorHAnsi" w:hAnsiTheme="minorHAnsi" w:cstheme="minorHAnsi"/>
        </w:rPr>
        <w:t>d</w:t>
      </w:r>
      <w:r w:rsidRPr="00092E94">
        <w:rPr>
          <w:rFonts w:asciiTheme="minorHAnsi" w:hAnsiTheme="minorHAnsi" w:cstheme="minorHAnsi"/>
        </w:rPr>
        <w:t xml:space="preserve">ivesting, and </w:t>
      </w:r>
      <w:r w:rsidR="00FA502A">
        <w:rPr>
          <w:rFonts w:asciiTheme="minorHAnsi" w:hAnsiTheme="minorHAnsi" w:cstheme="minorHAnsi"/>
        </w:rPr>
        <w:t>l</w:t>
      </w:r>
      <w:r w:rsidRPr="00092E94">
        <w:rPr>
          <w:rFonts w:asciiTheme="minorHAnsi" w:hAnsiTheme="minorHAnsi" w:cstheme="minorHAnsi"/>
        </w:rPr>
        <w:t>isting.</w:t>
      </w:r>
    </w:p>
    <w:p w14:paraId="5B20CF5C" w14:textId="77777777" w:rsidR="00B04111" w:rsidRDefault="00B04111" w:rsidP="00B04111">
      <w:pPr>
        <w:pStyle w:val="NormalWeb"/>
        <w:spacing w:before="0" w:beforeAutospacing="0" w:after="0" w:afterAutospacing="0" w:line="276" w:lineRule="auto"/>
        <w:jc w:val="both"/>
        <w:rPr>
          <w:rFonts w:asciiTheme="minorHAnsi" w:hAnsiTheme="minorHAnsi" w:cstheme="minorHAnsi"/>
        </w:rPr>
      </w:pPr>
    </w:p>
    <w:p w14:paraId="7BB65042" w14:textId="41D0E83F" w:rsidR="00F37288" w:rsidRDefault="00494D05" w:rsidP="00494D05">
      <w:pPr>
        <w:pStyle w:val="NormalWeb"/>
        <w:spacing w:before="0" w:beforeAutospacing="0" w:after="0" w:afterAutospacing="0" w:line="276" w:lineRule="auto"/>
        <w:jc w:val="both"/>
        <w:rPr>
          <w:rFonts w:asciiTheme="minorHAnsi" w:eastAsia="Times New Roman" w:hAnsiTheme="minorHAnsi" w:cstheme="minorHAnsi"/>
          <w:color w:val="000000"/>
        </w:rPr>
      </w:pPr>
      <w:r w:rsidRPr="00092E94">
        <w:rPr>
          <w:rFonts w:asciiTheme="minorHAnsi" w:eastAsia="Times New Roman" w:hAnsiTheme="minorHAnsi" w:cstheme="minorHAnsi"/>
          <w:color w:val="000000"/>
        </w:rPr>
        <w:t>International Holding Company</w:t>
      </w:r>
      <w:r w:rsidR="00F37288">
        <w:rPr>
          <w:rFonts w:asciiTheme="minorHAnsi" w:eastAsia="Times New Roman" w:hAnsiTheme="minorHAnsi" w:cstheme="minorHAnsi"/>
          <w:color w:val="000000"/>
        </w:rPr>
        <w:t>’s</w:t>
      </w:r>
      <w:r w:rsidRPr="00092E94">
        <w:rPr>
          <w:rFonts w:asciiTheme="minorHAnsi" w:eastAsia="Times New Roman" w:hAnsiTheme="minorHAnsi" w:cstheme="minorHAnsi"/>
          <w:color w:val="000000"/>
        </w:rPr>
        <w:t xml:space="preserve"> acquisition</w:t>
      </w:r>
      <w:r w:rsidR="00F37288">
        <w:rPr>
          <w:rFonts w:asciiTheme="minorHAnsi" w:eastAsia="Times New Roman" w:hAnsiTheme="minorHAnsi" w:cstheme="minorHAnsi"/>
          <w:color w:val="000000"/>
        </w:rPr>
        <w:t>s</w:t>
      </w:r>
      <w:r w:rsidRPr="00092E94">
        <w:rPr>
          <w:rFonts w:asciiTheme="minorHAnsi" w:eastAsia="Times New Roman" w:hAnsiTheme="minorHAnsi" w:cstheme="minorHAnsi"/>
          <w:color w:val="000000"/>
        </w:rPr>
        <w:t xml:space="preserve"> in Q3 2022 w</w:t>
      </w:r>
      <w:r w:rsidR="00F37288">
        <w:rPr>
          <w:rFonts w:asciiTheme="minorHAnsi" w:eastAsia="Times New Roman" w:hAnsiTheme="minorHAnsi" w:cstheme="minorHAnsi"/>
          <w:color w:val="000000"/>
        </w:rPr>
        <w:t>ere</w:t>
      </w:r>
      <w:r w:rsidRPr="00092E94">
        <w:rPr>
          <w:rFonts w:asciiTheme="minorHAnsi" w:eastAsia="Times New Roman" w:hAnsiTheme="minorHAnsi" w:cstheme="minorHAnsi"/>
          <w:color w:val="000000"/>
        </w:rPr>
        <w:t xml:space="preserve"> focus</w:t>
      </w:r>
      <w:r w:rsidR="00F37288">
        <w:rPr>
          <w:rFonts w:asciiTheme="minorHAnsi" w:eastAsia="Times New Roman" w:hAnsiTheme="minorHAnsi" w:cstheme="minorHAnsi"/>
          <w:color w:val="000000"/>
        </w:rPr>
        <w:t>ed</w:t>
      </w:r>
      <w:r w:rsidRPr="00092E94">
        <w:rPr>
          <w:rFonts w:asciiTheme="minorHAnsi" w:eastAsia="Times New Roman" w:hAnsiTheme="minorHAnsi" w:cstheme="minorHAnsi"/>
          <w:color w:val="000000"/>
        </w:rPr>
        <w:t xml:space="preserve"> on supporting the company's future growth plans in strengthening its operations across targeted sectors such as technology, which included </w:t>
      </w:r>
      <w:r w:rsidR="00FA502A">
        <w:rPr>
          <w:rFonts w:asciiTheme="minorHAnsi" w:eastAsia="Times New Roman" w:hAnsiTheme="minorHAnsi" w:cstheme="minorHAnsi"/>
          <w:color w:val="000000"/>
        </w:rPr>
        <w:t xml:space="preserve">a </w:t>
      </w:r>
      <w:r w:rsidRPr="001B2F00">
        <w:rPr>
          <w:rFonts w:asciiTheme="minorHAnsi" w:eastAsia="Times New Roman" w:hAnsiTheme="minorHAnsi" w:cstheme="minorHAnsi"/>
          <w:b/>
          <w:bCs/>
          <w:color w:val="000000"/>
        </w:rPr>
        <w:t>55%</w:t>
      </w:r>
      <w:r w:rsidRPr="001B2F00">
        <w:rPr>
          <w:rFonts w:asciiTheme="minorHAnsi" w:eastAsia="Times New Roman" w:hAnsiTheme="minorHAnsi" w:cstheme="minorHAnsi"/>
          <w:color w:val="000000"/>
        </w:rPr>
        <w:t xml:space="preserve"> shareholding</w:t>
      </w:r>
      <w:r w:rsidRPr="00092E94">
        <w:rPr>
          <w:rFonts w:asciiTheme="minorHAnsi" w:eastAsia="Times New Roman" w:hAnsiTheme="minorHAnsi" w:cstheme="minorHAnsi"/>
          <w:color w:val="000000"/>
        </w:rPr>
        <w:t xml:space="preserve"> in "Cyber Gate Defence" and </w:t>
      </w:r>
    </w:p>
    <w:p w14:paraId="4306FF51" w14:textId="77777777" w:rsidR="00F37288" w:rsidRDefault="00F37288" w:rsidP="00494D05">
      <w:pPr>
        <w:pStyle w:val="NormalWeb"/>
        <w:spacing w:before="0" w:beforeAutospacing="0" w:after="0" w:afterAutospacing="0" w:line="276" w:lineRule="auto"/>
        <w:jc w:val="both"/>
        <w:rPr>
          <w:rFonts w:asciiTheme="minorHAnsi" w:eastAsia="Times New Roman" w:hAnsiTheme="minorHAnsi" w:cstheme="minorHAnsi"/>
          <w:color w:val="000000"/>
        </w:rPr>
      </w:pPr>
    </w:p>
    <w:p w14:paraId="7D2AEACE" w14:textId="77777777" w:rsidR="00FB0C1E" w:rsidRDefault="00FB0C1E" w:rsidP="00494D05">
      <w:pPr>
        <w:pStyle w:val="NormalWeb"/>
        <w:spacing w:before="0" w:beforeAutospacing="0" w:after="0" w:afterAutospacing="0" w:line="276" w:lineRule="auto"/>
        <w:jc w:val="both"/>
        <w:rPr>
          <w:rFonts w:asciiTheme="minorHAnsi" w:eastAsia="Times New Roman" w:hAnsiTheme="minorHAnsi" w:cstheme="minorHAnsi"/>
          <w:color w:val="000000"/>
        </w:rPr>
      </w:pPr>
    </w:p>
    <w:p w14:paraId="4E4B7BB2" w14:textId="7FA31B6A" w:rsidR="00F1607C" w:rsidRDefault="00494D05" w:rsidP="00FB0C1E">
      <w:pPr>
        <w:pStyle w:val="NormalWeb"/>
        <w:spacing w:before="0" w:beforeAutospacing="0" w:after="0" w:afterAutospacing="0" w:line="276" w:lineRule="auto"/>
        <w:jc w:val="both"/>
        <w:rPr>
          <w:rFonts w:asciiTheme="minorHAnsi" w:eastAsia="Times New Roman" w:hAnsiTheme="minorHAnsi" w:cstheme="minorHAnsi"/>
          <w:color w:val="000000"/>
        </w:rPr>
      </w:pPr>
      <w:r w:rsidRPr="00092E94">
        <w:rPr>
          <w:rFonts w:asciiTheme="minorHAnsi" w:eastAsia="Times New Roman" w:hAnsiTheme="minorHAnsi" w:cstheme="minorHAnsi"/>
          <w:color w:val="000000"/>
        </w:rPr>
        <w:lastRenderedPageBreak/>
        <w:t>complet</w:t>
      </w:r>
      <w:r w:rsidR="00F37288">
        <w:rPr>
          <w:rFonts w:asciiTheme="minorHAnsi" w:eastAsia="Times New Roman" w:hAnsiTheme="minorHAnsi" w:cstheme="minorHAnsi"/>
          <w:color w:val="000000"/>
        </w:rPr>
        <w:t>ing</w:t>
      </w:r>
      <w:r w:rsidRPr="00092E94">
        <w:rPr>
          <w:rFonts w:asciiTheme="minorHAnsi" w:eastAsia="Times New Roman" w:hAnsiTheme="minorHAnsi" w:cstheme="minorHAnsi"/>
          <w:color w:val="000000"/>
        </w:rPr>
        <w:t xml:space="preserve"> </w:t>
      </w:r>
      <w:r w:rsidR="00FA502A">
        <w:rPr>
          <w:rFonts w:asciiTheme="minorHAnsi" w:eastAsia="Times New Roman" w:hAnsiTheme="minorHAnsi" w:cstheme="minorHAnsi"/>
          <w:color w:val="000000"/>
        </w:rPr>
        <w:t xml:space="preserve">a </w:t>
      </w:r>
      <w:r w:rsidRPr="00E2478A">
        <w:rPr>
          <w:rFonts w:asciiTheme="minorHAnsi" w:eastAsia="Times New Roman" w:hAnsiTheme="minorHAnsi" w:cstheme="minorHAnsi"/>
          <w:b/>
          <w:bCs/>
          <w:color w:val="000000"/>
        </w:rPr>
        <w:t>15%</w:t>
      </w:r>
      <w:r w:rsidRPr="00092E94">
        <w:rPr>
          <w:rFonts w:asciiTheme="minorHAnsi" w:eastAsia="Times New Roman" w:hAnsiTheme="minorHAnsi" w:cstheme="minorHAnsi"/>
          <w:color w:val="000000"/>
        </w:rPr>
        <w:t xml:space="preserve"> corner</w:t>
      </w:r>
      <w:r w:rsidR="00F37288">
        <w:rPr>
          <w:rFonts w:asciiTheme="minorHAnsi" w:eastAsia="Times New Roman" w:hAnsiTheme="minorHAnsi" w:cstheme="minorHAnsi"/>
          <w:color w:val="000000"/>
        </w:rPr>
        <w:t>stone</w:t>
      </w:r>
      <w:r w:rsidRPr="00092E94">
        <w:rPr>
          <w:rFonts w:asciiTheme="minorHAnsi" w:eastAsia="Times New Roman" w:hAnsiTheme="minorHAnsi" w:cstheme="minorHAnsi"/>
          <w:color w:val="000000"/>
        </w:rPr>
        <w:t xml:space="preserve"> investment in </w:t>
      </w:r>
      <w:proofErr w:type="spellStart"/>
      <w:r w:rsidRPr="00092E94">
        <w:rPr>
          <w:rFonts w:asciiTheme="minorHAnsi" w:eastAsia="Times New Roman" w:hAnsiTheme="minorHAnsi" w:cstheme="minorHAnsi"/>
          <w:color w:val="000000"/>
        </w:rPr>
        <w:t>Bayanat</w:t>
      </w:r>
      <w:proofErr w:type="spellEnd"/>
      <w:r w:rsidRPr="00092E94">
        <w:rPr>
          <w:rFonts w:asciiTheme="minorHAnsi" w:eastAsia="Times New Roman" w:hAnsiTheme="minorHAnsi" w:cstheme="minorHAnsi"/>
          <w:color w:val="000000"/>
        </w:rPr>
        <w:t xml:space="preserve"> AI PLC after the quarter's end</w:t>
      </w:r>
      <w:r w:rsidR="00F37288">
        <w:rPr>
          <w:rFonts w:asciiTheme="minorHAnsi" w:eastAsia="Times New Roman" w:hAnsiTheme="minorHAnsi" w:cstheme="minorHAnsi"/>
          <w:color w:val="000000"/>
        </w:rPr>
        <w:t>,</w:t>
      </w:r>
      <w:r w:rsidRPr="00092E94">
        <w:rPr>
          <w:rFonts w:asciiTheme="minorHAnsi" w:eastAsia="Times New Roman" w:hAnsiTheme="minorHAnsi" w:cstheme="minorHAnsi"/>
          <w:color w:val="000000"/>
        </w:rPr>
        <w:t xml:space="preserve"> as the company looks to deepen its engagement and investment in </w:t>
      </w:r>
      <w:r w:rsidR="008E015A">
        <w:rPr>
          <w:rFonts w:asciiTheme="minorHAnsi" w:eastAsia="Times New Roman" w:hAnsiTheme="minorHAnsi" w:cstheme="minorHAnsi"/>
          <w:color w:val="000000"/>
        </w:rPr>
        <w:t>this</w:t>
      </w:r>
      <w:r w:rsidRPr="00092E94">
        <w:rPr>
          <w:rFonts w:asciiTheme="minorHAnsi" w:eastAsia="Times New Roman" w:hAnsiTheme="minorHAnsi" w:cstheme="minorHAnsi"/>
          <w:color w:val="000000"/>
        </w:rPr>
        <w:t xml:space="preserve"> space by building</w:t>
      </w:r>
      <w:r w:rsidR="009F369E">
        <w:rPr>
          <w:rFonts w:asciiTheme="minorHAnsi" w:eastAsia="Times New Roman" w:hAnsiTheme="minorHAnsi" w:cstheme="minorHAnsi"/>
          <w:color w:val="000000"/>
        </w:rPr>
        <w:t xml:space="preserve"> a</w:t>
      </w:r>
      <w:r w:rsidRPr="00092E94">
        <w:rPr>
          <w:rFonts w:asciiTheme="minorHAnsi" w:eastAsia="Times New Roman" w:hAnsiTheme="minorHAnsi" w:cstheme="minorHAnsi"/>
          <w:color w:val="000000"/>
        </w:rPr>
        <w:t xml:space="preserve"> giant technology holding arm by 2024.</w:t>
      </w:r>
    </w:p>
    <w:p w14:paraId="03DE47CE" w14:textId="77777777" w:rsidR="00FB0C1E" w:rsidRPr="00FB0C1E" w:rsidRDefault="00FB0C1E" w:rsidP="00FB0C1E">
      <w:pPr>
        <w:pStyle w:val="NormalWeb"/>
        <w:spacing w:before="0" w:beforeAutospacing="0" w:after="0" w:afterAutospacing="0" w:line="276" w:lineRule="auto"/>
        <w:jc w:val="both"/>
        <w:rPr>
          <w:rFonts w:asciiTheme="minorHAnsi" w:eastAsia="Times New Roman" w:hAnsiTheme="minorHAnsi" w:cstheme="minorHAnsi"/>
          <w:color w:val="000000"/>
        </w:rPr>
      </w:pPr>
    </w:p>
    <w:p w14:paraId="2A4ABCF3" w14:textId="501EB444" w:rsidR="00F1607C" w:rsidRDefault="00A62B80" w:rsidP="00F1607C">
      <w:pPr>
        <w:pStyle w:val="NormalWeb"/>
        <w:spacing w:before="0" w:beforeAutospacing="0" w:after="0" w:afterAutospacing="0" w:line="276" w:lineRule="auto"/>
        <w:jc w:val="both"/>
        <w:rPr>
          <w:rFonts w:asciiTheme="minorHAnsi" w:hAnsiTheme="minorHAnsi" w:cstheme="minorHAnsi"/>
          <w:b/>
          <w:bCs/>
        </w:rPr>
      </w:pPr>
      <w:r w:rsidRPr="00A62B80">
        <w:rPr>
          <w:rFonts w:asciiTheme="minorHAnsi" w:hAnsiTheme="minorHAnsi" w:cstheme="minorHAnsi"/>
          <w:b/>
          <w:bCs/>
        </w:rPr>
        <w:t>Global Market Expansion Outlook</w:t>
      </w:r>
    </w:p>
    <w:p w14:paraId="020E6257" w14:textId="4F502ED1" w:rsidR="00883F4F" w:rsidRDefault="00E30793" w:rsidP="0069114D">
      <w:pPr>
        <w:pStyle w:val="NormalWeb"/>
        <w:spacing w:before="0" w:beforeAutospacing="0" w:after="0" w:afterAutospacing="0" w:line="276" w:lineRule="auto"/>
        <w:jc w:val="both"/>
        <w:rPr>
          <w:rFonts w:asciiTheme="minorHAnsi" w:hAnsiTheme="minorHAnsi" w:cstheme="minorHAnsi"/>
        </w:rPr>
      </w:pPr>
      <w:r w:rsidRPr="00E30793">
        <w:rPr>
          <w:rFonts w:asciiTheme="minorHAnsi" w:hAnsiTheme="minorHAnsi" w:cstheme="minorHAnsi"/>
        </w:rPr>
        <w:t>In an environment of high geopolitical and macroeconomic risk, global economic growth is slowing in some of the key markets; International Holding Company re</w:t>
      </w:r>
      <w:r w:rsidR="009F369E">
        <w:rPr>
          <w:rFonts w:asciiTheme="minorHAnsi" w:hAnsiTheme="minorHAnsi" w:cstheme="minorHAnsi"/>
        </w:rPr>
        <w:t>tains its</w:t>
      </w:r>
      <w:r w:rsidR="00F37288">
        <w:rPr>
          <w:rFonts w:asciiTheme="minorHAnsi" w:hAnsiTheme="minorHAnsi" w:cstheme="minorHAnsi"/>
        </w:rPr>
        <w:t xml:space="preserve"> </w:t>
      </w:r>
      <w:r w:rsidR="00FB0C1E">
        <w:rPr>
          <w:rFonts w:asciiTheme="minorHAnsi" w:hAnsiTheme="minorHAnsi" w:cstheme="minorHAnsi"/>
        </w:rPr>
        <w:t>drive</w:t>
      </w:r>
      <w:r w:rsidR="00FA502A">
        <w:rPr>
          <w:rFonts w:asciiTheme="minorHAnsi" w:hAnsiTheme="minorHAnsi" w:cstheme="minorHAnsi"/>
        </w:rPr>
        <w:t xml:space="preserve"> to</w:t>
      </w:r>
      <w:r w:rsidR="009F369E">
        <w:rPr>
          <w:rFonts w:asciiTheme="minorHAnsi" w:hAnsiTheme="minorHAnsi" w:cstheme="minorHAnsi"/>
        </w:rPr>
        <w:t xml:space="preserve"> </w:t>
      </w:r>
      <w:r w:rsidRPr="00E30793">
        <w:rPr>
          <w:rFonts w:asciiTheme="minorHAnsi" w:hAnsiTheme="minorHAnsi" w:cstheme="minorHAnsi"/>
        </w:rPr>
        <w:t>increas</w:t>
      </w:r>
      <w:r w:rsidR="00F37288">
        <w:rPr>
          <w:rFonts w:asciiTheme="minorHAnsi" w:hAnsiTheme="minorHAnsi" w:cstheme="minorHAnsi"/>
        </w:rPr>
        <w:t xml:space="preserve">e </w:t>
      </w:r>
      <w:r w:rsidRPr="00E30793">
        <w:rPr>
          <w:rFonts w:asciiTheme="minorHAnsi" w:hAnsiTheme="minorHAnsi" w:cstheme="minorHAnsi"/>
        </w:rPr>
        <w:t>its global investment</w:t>
      </w:r>
      <w:r w:rsidR="00F37288">
        <w:rPr>
          <w:rFonts w:asciiTheme="minorHAnsi" w:hAnsiTheme="minorHAnsi" w:cstheme="minorHAnsi"/>
        </w:rPr>
        <w:t>s</w:t>
      </w:r>
      <w:r w:rsidRPr="00E30793">
        <w:rPr>
          <w:rFonts w:asciiTheme="minorHAnsi" w:hAnsiTheme="minorHAnsi" w:cstheme="minorHAnsi"/>
        </w:rPr>
        <w:t xml:space="preserve"> in the third quarter</w:t>
      </w:r>
      <w:r w:rsidR="00883F4F">
        <w:rPr>
          <w:rFonts w:asciiTheme="minorHAnsi" w:hAnsiTheme="minorHAnsi" w:cstheme="minorHAnsi"/>
        </w:rPr>
        <w:t>.</w:t>
      </w:r>
    </w:p>
    <w:p w14:paraId="3192973B" w14:textId="77777777" w:rsidR="00883F4F" w:rsidRPr="00E2478A" w:rsidRDefault="00883F4F" w:rsidP="00883F4F">
      <w:pPr>
        <w:pStyle w:val="NormalWeb"/>
        <w:spacing w:before="0" w:beforeAutospacing="0" w:after="0" w:afterAutospacing="0" w:line="276" w:lineRule="auto"/>
        <w:jc w:val="both"/>
        <w:rPr>
          <w:rFonts w:asciiTheme="minorHAnsi" w:hAnsiTheme="minorHAnsi" w:cstheme="minorHAnsi"/>
        </w:rPr>
      </w:pPr>
    </w:p>
    <w:p w14:paraId="29D4EE7A" w14:textId="259C99D7" w:rsidR="00883F4F" w:rsidRPr="00ED77C8" w:rsidRDefault="00ED77C8" w:rsidP="00ED77C8">
      <w:pPr>
        <w:pStyle w:val="NormalWeb"/>
        <w:spacing w:before="0" w:beforeAutospacing="0" w:after="0" w:afterAutospacing="0" w:line="276" w:lineRule="auto"/>
        <w:jc w:val="both"/>
        <w:rPr>
          <w:rFonts w:asciiTheme="minorHAnsi" w:hAnsiTheme="minorHAnsi" w:cstheme="minorHAnsi"/>
        </w:rPr>
      </w:pPr>
      <w:r w:rsidRPr="00E2478A">
        <w:rPr>
          <w:rFonts w:asciiTheme="minorHAnsi" w:hAnsiTheme="minorHAnsi" w:cstheme="minorHAnsi"/>
        </w:rPr>
        <w:t>“</w:t>
      </w:r>
      <w:r w:rsidR="00883F4F" w:rsidRPr="00E2478A">
        <w:rPr>
          <w:rFonts w:asciiTheme="minorHAnsi" w:hAnsiTheme="minorHAnsi" w:cstheme="minorHAnsi"/>
        </w:rPr>
        <w:t xml:space="preserve">Going forward, IHC plans to remain focused on global market expansion, we have set an ambitious long-term goal </w:t>
      </w:r>
      <w:r w:rsidR="00883F4F" w:rsidRPr="00E2478A">
        <w:rPr>
          <w:rFonts w:asciiTheme="minorHAnsi" w:hAnsiTheme="minorHAnsi" w:cstheme="minorHAnsi"/>
          <w:b/>
          <w:bCs/>
        </w:rPr>
        <w:t>to</w:t>
      </w:r>
      <w:r w:rsidR="00883F4F" w:rsidRPr="00E2478A">
        <w:rPr>
          <w:rFonts w:asciiTheme="minorHAnsi" w:hAnsiTheme="minorHAnsi" w:cstheme="minorHAnsi"/>
        </w:rPr>
        <w:t xml:space="preserve"> </w:t>
      </w:r>
      <w:r w:rsidR="00883F4F" w:rsidRPr="00E2478A">
        <w:rPr>
          <w:rFonts w:asciiTheme="minorHAnsi" w:hAnsiTheme="minorHAnsi" w:cstheme="minorHAnsi"/>
          <w:b/>
          <w:bCs/>
        </w:rPr>
        <w:t xml:space="preserve">grow </w:t>
      </w:r>
      <w:r w:rsidR="004F5CDB" w:rsidRPr="00E2478A">
        <w:rPr>
          <w:rFonts w:asciiTheme="minorHAnsi" w:hAnsiTheme="minorHAnsi" w:cstheme="minorHAnsi"/>
          <w:b/>
          <w:bCs/>
        </w:rPr>
        <w:t xml:space="preserve">the number of </w:t>
      </w:r>
      <w:r w:rsidR="00883F4F" w:rsidRPr="00E2478A">
        <w:rPr>
          <w:rFonts w:asciiTheme="minorHAnsi" w:hAnsiTheme="minorHAnsi" w:cstheme="minorHAnsi"/>
          <w:b/>
          <w:bCs/>
        </w:rPr>
        <w:t xml:space="preserve">our global business acquisitions by </w:t>
      </w:r>
      <w:r w:rsidR="0073535C" w:rsidRPr="00E2478A">
        <w:rPr>
          <w:rFonts w:asciiTheme="minorHAnsi" w:hAnsiTheme="minorHAnsi" w:cstheme="minorHAnsi"/>
          <w:b/>
          <w:bCs/>
        </w:rPr>
        <w:t>70</w:t>
      </w:r>
      <w:r w:rsidR="00883F4F" w:rsidRPr="00E2478A">
        <w:rPr>
          <w:rFonts w:asciiTheme="minorHAnsi" w:hAnsiTheme="minorHAnsi" w:cstheme="minorHAnsi"/>
          <w:b/>
          <w:bCs/>
        </w:rPr>
        <w:t>%</w:t>
      </w:r>
      <w:r w:rsidR="00883F4F" w:rsidRPr="00E2478A">
        <w:rPr>
          <w:rFonts w:asciiTheme="minorHAnsi" w:hAnsiTheme="minorHAnsi" w:cstheme="minorHAnsi"/>
        </w:rPr>
        <w:t xml:space="preserve"> </w:t>
      </w:r>
      <w:r w:rsidR="00883F4F" w:rsidRPr="00E2478A">
        <w:rPr>
          <w:rFonts w:asciiTheme="minorHAnsi" w:hAnsiTheme="minorHAnsi" w:cstheme="minorHAnsi"/>
          <w:b/>
          <w:bCs/>
        </w:rPr>
        <w:t>in the next 12 months.</w:t>
      </w:r>
      <w:r w:rsidR="00883F4F" w:rsidRPr="00E2478A">
        <w:rPr>
          <w:rFonts w:asciiTheme="minorHAnsi" w:hAnsiTheme="minorHAnsi" w:cstheme="minorHAnsi"/>
        </w:rPr>
        <w:t xml:space="preserve"> Our strong financial performance</w:t>
      </w:r>
      <w:r w:rsidR="008E015A" w:rsidRPr="00E2478A">
        <w:rPr>
          <w:rFonts w:asciiTheme="minorHAnsi" w:hAnsiTheme="minorHAnsi" w:cstheme="minorHAnsi"/>
        </w:rPr>
        <w:t xml:space="preserve"> </w:t>
      </w:r>
      <w:r w:rsidR="00883F4F" w:rsidRPr="00E2478A">
        <w:rPr>
          <w:rFonts w:asciiTheme="minorHAnsi" w:hAnsiTheme="minorHAnsi" w:cstheme="minorHAnsi"/>
        </w:rPr>
        <w:t>position</w:t>
      </w:r>
      <w:r w:rsidR="008E015A" w:rsidRPr="00E2478A">
        <w:rPr>
          <w:rFonts w:asciiTheme="minorHAnsi" w:hAnsiTheme="minorHAnsi" w:cstheme="minorHAnsi"/>
        </w:rPr>
        <w:t xml:space="preserve">s us well </w:t>
      </w:r>
      <w:r w:rsidR="00883F4F" w:rsidRPr="00E2478A">
        <w:rPr>
          <w:rFonts w:asciiTheme="minorHAnsi" w:hAnsiTheme="minorHAnsi" w:cstheme="minorHAnsi"/>
        </w:rPr>
        <w:t>to enter new territories</w:t>
      </w:r>
      <w:r w:rsidR="00BA2DD0" w:rsidRPr="00E2478A">
        <w:rPr>
          <w:rFonts w:asciiTheme="minorHAnsi" w:hAnsiTheme="minorHAnsi" w:cstheme="minorHAnsi"/>
        </w:rPr>
        <w:t xml:space="preserve">. </w:t>
      </w:r>
      <w:r w:rsidRPr="00E2478A">
        <w:rPr>
          <w:rFonts w:asciiTheme="minorHAnsi" w:hAnsiTheme="minorHAnsi" w:cstheme="minorHAnsi"/>
        </w:rPr>
        <w:t>IHC</w:t>
      </w:r>
      <w:r w:rsidR="00FA502A" w:rsidRPr="00E2478A">
        <w:rPr>
          <w:rFonts w:asciiTheme="minorHAnsi" w:hAnsiTheme="minorHAnsi" w:cstheme="minorHAnsi"/>
        </w:rPr>
        <w:t>’</w:t>
      </w:r>
      <w:r w:rsidR="00F37288" w:rsidRPr="00E2478A">
        <w:rPr>
          <w:rFonts w:asciiTheme="minorHAnsi" w:hAnsiTheme="minorHAnsi" w:cstheme="minorHAnsi"/>
        </w:rPr>
        <w:t xml:space="preserve">s </w:t>
      </w:r>
      <w:r w:rsidR="00BA2DD0" w:rsidRPr="00E2478A">
        <w:rPr>
          <w:rFonts w:asciiTheme="minorHAnsi" w:hAnsiTheme="minorHAnsi" w:cstheme="minorHAnsi"/>
        </w:rPr>
        <w:t xml:space="preserve">expansion and acquisition appetite </w:t>
      </w:r>
      <w:r w:rsidRPr="00E2478A">
        <w:rPr>
          <w:rFonts w:asciiTheme="minorHAnsi" w:hAnsiTheme="minorHAnsi" w:cstheme="minorHAnsi"/>
        </w:rPr>
        <w:t>will</w:t>
      </w:r>
      <w:r w:rsidR="00BA2DD0" w:rsidRPr="00E2478A">
        <w:rPr>
          <w:rFonts w:asciiTheme="minorHAnsi" w:hAnsiTheme="minorHAnsi" w:cstheme="minorHAnsi"/>
        </w:rPr>
        <w:t xml:space="preserve"> remain robust ahead</w:t>
      </w:r>
      <w:r w:rsidR="00F37288" w:rsidRPr="00E2478A">
        <w:rPr>
          <w:rFonts w:asciiTheme="minorHAnsi" w:hAnsiTheme="minorHAnsi" w:cstheme="minorHAnsi"/>
        </w:rPr>
        <w:t>,</w:t>
      </w:r>
      <w:r w:rsidRPr="00E2478A">
        <w:rPr>
          <w:rFonts w:asciiTheme="minorHAnsi" w:hAnsiTheme="minorHAnsi" w:cstheme="minorHAnsi"/>
        </w:rPr>
        <w:t xml:space="preserve"> as we continue to </w:t>
      </w:r>
      <w:r w:rsidR="00BA2DD0" w:rsidRPr="00E2478A">
        <w:rPr>
          <w:rFonts w:asciiTheme="minorHAnsi" w:hAnsiTheme="minorHAnsi" w:cstheme="minorHAnsi"/>
        </w:rPr>
        <w:t xml:space="preserve">focus on our capabilities </w:t>
      </w:r>
      <w:r w:rsidRPr="00E2478A">
        <w:rPr>
          <w:rFonts w:asciiTheme="minorHAnsi" w:hAnsiTheme="minorHAnsi" w:cstheme="minorHAnsi"/>
        </w:rPr>
        <w:t xml:space="preserve">which </w:t>
      </w:r>
      <w:r w:rsidR="00BA2DD0" w:rsidRPr="00E2478A">
        <w:rPr>
          <w:rFonts w:asciiTheme="minorHAnsi" w:hAnsiTheme="minorHAnsi" w:cstheme="minorHAnsi"/>
        </w:rPr>
        <w:t xml:space="preserve">is informing our growth path, including how we approach acquisitions, </w:t>
      </w:r>
      <w:r w:rsidR="00825DC2" w:rsidRPr="00E2478A">
        <w:rPr>
          <w:rFonts w:asciiTheme="minorHAnsi" w:hAnsiTheme="minorHAnsi" w:cstheme="minorHAnsi"/>
        </w:rPr>
        <w:t>a</w:t>
      </w:r>
      <w:r w:rsidR="008E015A" w:rsidRPr="00E2478A">
        <w:rPr>
          <w:rFonts w:asciiTheme="minorHAnsi" w:hAnsiTheme="minorHAnsi" w:cstheme="minorHAnsi"/>
        </w:rPr>
        <w:t>s</w:t>
      </w:r>
      <w:r w:rsidR="00825DC2" w:rsidRPr="00E2478A">
        <w:rPr>
          <w:rFonts w:asciiTheme="minorHAnsi" w:hAnsiTheme="minorHAnsi" w:cstheme="minorHAnsi"/>
        </w:rPr>
        <w:t xml:space="preserve"> this is one of our</w:t>
      </w:r>
      <w:r w:rsidR="00BA2DD0" w:rsidRPr="00E2478A">
        <w:rPr>
          <w:rFonts w:asciiTheme="minorHAnsi" w:hAnsiTheme="minorHAnsi" w:cstheme="minorHAnsi"/>
        </w:rPr>
        <w:t xml:space="preserve"> competitive </w:t>
      </w:r>
      <w:r w:rsidR="00825DC2" w:rsidRPr="00E2478A">
        <w:rPr>
          <w:rFonts w:asciiTheme="minorHAnsi" w:hAnsiTheme="minorHAnsi" w:cstheme="minorHAnsi"/>
        </w:rPr>
        <w:t>advantages</w:t>
      </w:r>
      <w:r w:rsidRPr="00E2478A">
        <w:rPr>
          <w:rFonts w:asciiTheme="minorHAnsi" w:hAnsiTheme="minorHAnsi" w:cstheme="minorHAnsi"/>
        </w:rPr>
        <w:t xml:space="preserve">.” </w:t>
      </w:r>
      <w:proofErr w:type="spellStart"/>
      <w:r w:rsidRPr="00E2478A">
        <w:rPr>
          <w:rFonts w:asciiTheme="minorHAnsi" w:hAnsiTheme="minorHAnsi" w:cstheme="minorHAnsi"/>
          <w:b/>
          <w:bCs/>
        </w:rPr>
        <w:t>S</w:t>
      </w:r>
      <w:r w:rsidR="00883F4F" w:rsidRPr="00E2478A">
        <w:rPr>
          <w:rFonts w:asciiTheme="minorHAnsi" w:hAnsiTheme="minorHAnsi" w:cstheme="minorHAnsi"/>
          <w:b/>
          <w:bCs/>
        </w:rPr>
        <w:t>hueb</w:t>
      </w:r>
      <w:proofErr w:type="spellEnd"/>
      <w:r w:rsidR="00883F4F" w:rsidRPr="00E2478A">
        <w:rPr>
          <w:rFonts w:asciiTheme="minorHAnsi" w:hAnsiTheme="minorHAnsi" w:cstheme="minorHAnsi"/>
          <w:b/>
          <w:bCs/>
        </w:rPr>
        <w:t xml:space="preserve"> added.</w:t>
      </w:r>
      <w:r w:rsidR="00883F4F">
        <w:rPr>
          <w:rFonts w:asciiTheme="minorHAnsi" w:hAnsiTheme="minorHAnsi" w:cstheme="minorHAnsi"/>
          <w:b/>
          <w:bCs/>
        </w:rPr>
        <w:t xml:space="preserve">  </w:t>
      </w:r>
      <w:r w:rsidR="00825DC2">
        <w:rPr>
          <w:rFonts w:asciiTheme="minorHAnsi" w:hAnsiTheme="minorHAnsi" w:cstheme="minorHAnsi"/>
          <w:b/>
          <w:bCs/>
        </w:rPr>
        <w:t xml:space="preserve"> </w:t>
      </w:r>
    </w:p>
    <w:p w14:paraId="09971EFF" w14:textId="77777777" w:rsidR="00883F4F" w:rsidRDefault="00883F4F" w:rsidP="0069114D">
      <w:pPr>
        <w:pStyle w:val="NormalWeb"/>
        <w:spacing w:before="0" w:beforeAutospacing="0" w:after="0" w:afterAutospacing="0" w:line="276" w:lineRule="auto"/>
        <w:jc w:val="both"/>
        <w:rPr>
          <w:rFonts w:asciiTheme="minorHAnsi" w:hAnsiTheme="minorHAnsi" w:cstheme="minorHAnsi"/>
        </w:rPr>
      </w:pPr>
    </w:p>
    <w:p w14:paraId="16C6D3DD" w14:textId="72609FF8" w:rsidR="00E30793" w:rsidRDefault="00883F4F" w:rsidP="0069114D">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rPr>
        <w:t>A</w:t>
      </w:r>
      <w:r w:rsidR="00E30793" w:rsidRPr="00E30793">
        <w:rPr>
          <w:rFonts w:asciiTheme="minorHAnsi" w:hAnsiTheme="minorHAnsi" w:cstheme="minorHAnsi"/>
        </w:rPr>
        <w:t xml:space="preserve">mid a global expansion push, </w:t>
      </w:r>
      <w:r>
        <w:rPr>
          <w:rFonts w:asciiTheme="minorHAnsi" w:hAnsiTheme="minorHAnsi" w:cstheme="minorHAnsi"/>
        </w:rPr>
        <w:t>IHC</w:t>
      </w:r>
      <w:r w:rsidR="00E30793" w:rsidRPr="00E30793">
        <w:rPr>
          <w:rFonts w:asciiTheme="minorHAnsi" w:hAnsiTheme="minorHAnsi" w:cstheme="minorHAnsi"/>
        </w:rPr>
        <w:t xml:space="preserve"> enter</w:t>
      </w:r>
      <w:r>
        <w:rPr>
          <w:rFonts w:asciiTheme="minorHAnsi" w:hAnsiTheme="minorHAnsi" w:cstheme="minorHAnsi"/>
        </w:rPr>
        <w:t>ed</w:t>
      </w:r>
      <w:r w:rsidR="00E30793" w:rsidRPr="00E30793">
        <w:rPr>
          <w:rFonts w:asciiTheme="minorHAnsi" w:hAnsiTheme="minorHAnsi" w:cstheme="minorHAnsi"/>
        </w:rPr>
        <w:t xml:space="preserve"> new markets</w:t>
      </w:r>
      <w:r>
        <w:rPr>
          <w:rFonts w:asciiTheme="minorHAnsi" w:hAnsiTheme="minorHAnsi" w:cstheme="minorHAnsi"/>
        </w:rPr>
        <w:t xml:space="preserve">; </w:t>
      </w:r>
      <w:r w:rsidR="00E30793" w:rsidRPr="00E2478A">
        <w:rPr>
          <w:rFonts w:asciiTheme="minorHAnsi" w:hAnsiTheme="minorHAnsi" w:cstheme="minorHAnsi"/>
        </w:rPr>
        <w:t xml:space="preserve">acquiring </w:t>
      </w:r>
      <w:r w:rsidR="00FA502A" w:rsidRPr="00E2478A">
        <w:rPr>
          <w:rFonts w:asciiTheme="minorHAnsi" w:hAnsiTheme="minorHAnsi" w:cstheme="minorHAnsi"/>
        </w:rPr>
        <w:t xml:space="preserve">a </w:t>
      </w:r>
      <w:r w:rsidR="00E30793" w:rsidRPr="00E2478A">
        <w:rPr>
          <w:rFonts w:asciiTheme="minorHAnsi" w:hAnsiTheme="minorHAnsi" w:cstheme="minorHAnsi"/>
          <w:b/>
          <w:bCs/>
        </w:rPr>
        <w:t>50% stake</w:t>
      </w:r>
      <w:r w:rsidR="00E30793" w:rsidRPr="00E2478A">
        <w:rPr>
          <w:rFonts w:asciiTheme="minorHAnsi" w:hAnsiTheme="minorHAnsi" w:cstheme="minorHAnsi"/>
        </w:rPr>
        <w:t xml:space="preserve"> in Turkish clean energy company </w:t>
      </w:r>
      <w:proofErr w:type="spellStart"/>
      <w:r w:rsidR="00E30793" w:rsidRPr="00E2478A">
        <w:rPr>
          <w:rFonts w:asciiTheme="minorHAnsi" w:hAnsiTheme="minorHAnsi" w:cstheme="minorHAnsi"/>
        </w:rPr>
        <w:t>Kalyon</w:t>
      </w:r>
      <w:proofErr w:type="spellEnd"/>
      <w:r w:rsidR="00E30793" w:rsidRPr="00E2478A">
        <w:rPr>
          <w:rFonts w:asciiTheme="minorHAnsi" w:hAnsiTheme="minorHAnsi" w:cstheme="minorHAnsi"/>
        </w:rPr>
        <w:t xml:space="preserve"> </w:t>
      </w:r>
      <w:proofErr w:type="spellStart"/>
      <w:r w:rsidR="00E30793" w:rsidRPr="00E2478A">
        <w:rPr>
          <w:rFonts w:asciiTheme="minorHAnsi" w:hAnsiTheme="minorHAnsi" w:cstheme="minorHAnsi"/>
        </w:rPr>
        <w:t>Enerji</w:t>
      </w:r>
      <w:proofErr w:type="spellEnd"/>
      <w:r w:rsidR="00E30793" w:rsidRPr="00E2478A">
        <w:rPr>
          <w:rFonts w:asciiTheme="minorHAnsi" w:hAnsiTheme="minorHAnsi" w:cstheme="minorHAnsi"/>
        </w:rPr>
        <w:t xml:space="preserve"> in</w:t>
      </w:r>
      <w:r w:rsidRPr="00E2478A">
        <w:rPr>
          <w:rFonts w:asciiTheme="minorHAnsi" w:hAnsiTheme="minorHAnsi" w:cstheme="minorHAnsi"/>
        </w:rPr>
        <w:t xml:space="preserve"> </w:t>
      </w:r>
      <w:proofErr w:type="gramStart"/>
      <w:r w:rsidRPr="00E2478A">
        <w:rPr>
          <w:rFonts w:asciiTheme="minorHAnsi" w:hAnsiTheme="minorHAnsi" w:cstheme="minorHAnsi"/>
        </w:rPr>
        <w:t>a</w:t>
      </w:r>
      <w:proofErr w:type="gramEnd"/>
      <w:r w:rsidR="00E30793" w:rsidRPr="00E2478A">
        <w:rPr>
          <w:rFonts w:asciiTheme="minorHAnsi" w:hAnsiTheme="minorHAnsi" w:cstheme="minorHAnsi"/>
        </w:rPr>
        <w:t xml:space="preserve"> </w:t>
      </w:r>
      <w:r w:rsidR="00E30793" w:rsidRPr="00E2478A">
        <w:rPr>
          <w:rFonts w:asciiTheme="minorHAnsi" w:hAnsiTheme="minorHAnsi" w:cstheme="minorHAnsi"/>
          <w:b/>
          <w:bCs/>
        </w:rPr>
        <w:t>AED 1.8bn</w:t>
      </w:r>
      <w:r w:rsidR="00E30793" w:rsidRPr="00E2478A">
        <w:rPr>
          <w:rFonts w:asciiTheme="minorHAnsi" w:hAnsiTheme="minorHAnsi" w:cstheme="minorHAnsi"/>
        </w:rPr>
        <w:t xml:space="preserve"> transaction and </w:t>
      </w:r>
      <w:r w:rsidRPr="00E2478A">
        <w:rPr>
          <w:rFonts w:asciiTheme="minorHAnsi" w:hAnsiTheme="minorHAnsi" w:cstheme="minorHAnsi"/>
        </w:rPr>
        <w:t xml:space="preserve">the </w:t>
      </w:r>
      <w:r w:rsidR="00E30793" w:rsidRPr="00E2478A">
        <w:rPr>
          <w:rFonts w:asciiTheme="minorHAnsi" w:hAnsiTheme="minorHAnsi" w:cstheme="minorHAnsi"/>
        </w:rPr>
        <w:t>launch</w:t>
      </w:r>
      <w:r w:rsidRPr="00E2478A">
        <w:rPr>
          <w:rFonts w:asciiTheme="minorHAnsi" w:hAnsiTheme="minorHAnsi" w:cstheme="minorHAnsi"/>
        </w:rPr>
        <w:t>ing of</w:t>
      </w:r>
      <w:r w:rsidR="00E30793" w:rsidRPr="00E2478A">
        <w:rPr>
          <w:rFonts w:asciiTheme="minorHAnsi" w:hAnsiTheme="minorHAnsi" w:cstheme="minorHAnsi"/>
        </w:rPr>
        <w:t xml:space="preserve"> </w:t>
      </w:r>
      <w:r w:rsidR="00E30793" w:rsidRPr="00E2478A">
        <w:rPr>
          <w:rFonts w:asciiTheme="minorHAnsi" w:hAnsiTheme="minorHAnsi" w:cstheme="minorHAnsi"/>
          <w:b/>
          <w:bCs/>
        </w:rPr>
        <w:t>AED 7.7bn</w:t>
      </w:r>
      <w:r w:rsidR="00E30793" w:rsidRPr="00E2478A">
        <w:rPr>
          <w:rFonts w:asciiTheme="minorHAnsi" w:hAnsiTheme="minorHAnsi" w:cstheme="minorHAnsi"/>
        </w:rPr>
        <w:t xml:space="preserve"> tender offer to acquire, a minimum of 25% and a maximum of 31.25% of the shareholding</w:t>
      </w:r>
      <w:r w:rsidR="00E30793" w:rsidRPr="00E30793">
        <w:rPr>
          <w:rFonts w:asciiTheme="minorHAnsi" w:hAnsiTheme="minorHAnsi" w:cstheme="minorHAnsi"/>
        </w:rPr>
        <w:t xml:space="preserve"> in Colombia's food processing conglomerate Grupo </w:t>
      </w:r>
      <w:proofErr w:type="spellStart"/>
      <w:r w:rsidR="00E30793" w:rsidRPr="00E30793">
        <w:rPr>
          <w:rFonts w:asciiTheme="minorHAnsi" w:hAnsiTheme="minorHAnsi" w:cstheme="minorHAnsi"/>
        </w:rPr>
        <w:t>Nutresa</w:t>
      </w:r>
      <w:proofErr w:type="spellEnd"/>
      <w:r w:rsidR="00E30793" w:rsidRPr="00E30793">
        <w:rPr>
          <w:rFonts w:asciiTheme="minorHAnsi" w:hAnsiTheme="minorHAnsi" w:cstheme="minorHAnsi"/>
        </w:rPr>
        <w:t xml:space="preserve">. The company has </w:t>
      </w:r>
      <w:r w:rsidR="00FE4DAD">
        <w:rPr>
          <w:rFonts w:asciiTheme="minorHAnsi" w:hAnsiTheme="minorHAnsi" w:cstheme="minorHAnsi"/>
        </w:rPr>
        <w:t xml:space="preserve">also </w:t>
      </w:r>
      <w:r w:rsidR="00E30793" w:rsidRPr="00E30793">
        <w:rPr>
          <w:rFonts w:asciiTheme="minorHAnsi" w:hAnsiTheme="minorHAnsi" w:cstheme="minorHAnsi"/>
        </w:rPr>
        <w:t>unveiled a growth strategy focused on broadening its investment</w:t>
      </w:r>
      <w:r w:rsidR="00FE4DAD">
        <w:rPr>
          <w:rFonts w:asciiTheme="minorHAnsi" w:hAnsiTheme="minorHAnsi" w:cstheme="minorHAnsi"/>
        </w:rPr>
        <w:t xml:space="preserve"> </w:t>
      </w:r>
      <w:r w:rsidR="00FE4DAD" w:rsidRPr="00FE4DAD">
        <w:rPr>
          <w:rFonts w:asciiTheme="minorHAnsi" w:hAnsiTheme="minorHAnsi" w:cstheme="minorHAnsi"/>
        </w:rPr>
        <w:t>in South America and Indonesia.</w:t>
      </w:r>
    </w:p>
    <w:p w14:paraId="41BD61F1" w14:textId="5FC09364" w:rsidR="006D5A33" w:rsidRDefault="006D5A33" w:rsidP="00E20137">
      <w:pPr>
        <w:pStyle w:val="NormalWeb"/>
        <w:spacing w:before="0" w:beforeAutospacing="0" w:after="0" w:afterAutospacing="0" w:line="276" w:lineRule="auto"/>
        <w:jc w:val="both"/>
        <w:rPr>
          <w:rFonts w:asciiTheme="minorHAnsi" w:eastAsia="Times New Roman" w:hAnsiTheme="minorHAnsi" w:cstheme="minorHAnsi"/>
          <w:color w:val="0E101A"/>
        </w:rPr>
      </w:pPr>
    </w:p>
    <w:p w14:paraId="19633B10" w14:textId="77777777" w:rsidR="00317CA6" w:rsidRDefault="00000000" w:rsidP="00317CA6">
      <w:pPr>
        <w:spacing w:line="276" w:lineRule="auto"/>
        <w:jc w:val="center"/>
        <w:rPr>
          <w:rFonts w:asciiTheme="minorHAnsi" w:hAnsiTheme="minorHAnsi" w:cstheme="minorHAnsi"/>
          <w:b/>
          <w:bCs/>
          <w:i/>
          <w:iCs/>
        </w:rPr>
      </w:pPr>
      <w:r w:rsidRPr="008E435A">
        <w:rPr>
          <w:rFonts w:asciiTheme="minorHAnsi" w:hAnsiTheme="minorHAnsi" w:cstheme="minorHAnsi"/>
          <w:b/>
          <w:bCs/>
          <w:i/>
          <w:iCs/>
        </w:rPr>
        <w:t>-END-</w:t>
      </w:r>
    </w:p>
    <w:p w14:paraId="0EDD867E" w14:textId="77777777" w:rsidR="00E20137" w:rsidRPr="009B4C09" w:rsidRDefault="00E20137" w:rsidP="00FC28BA">
      <w:pPr>
        <w:spacing w:line="276" w:lineRule="auto"/>
        <w:rPr>
          <w:rFonts w:asciiTheme="minorHAnsi" w:hAnsiTheme="minorHAnsi" w:cstheme="minorHAnsi"/>
          <w:b/>
          <w:bCs/>
          <w:i/>
          <w:iCs/>
        </w:rPr>
      </w:pPr>
    </w:p>
    <w:p w14:paraId="637D53A8" w14:textId="433F1B84" w:rsidR="008E435A" w:rsidRDefault="008E435A" w:rsidP="00A9055F">
      <w:pPr>
        <w:jc w:val="both"/>
        <w:rPr>
          <w:rFonts w:asciiTheme="minorHAnsi" w:eastAsia="Segoe UI Light" w:hAnsiTheme="minorHAnsi" w:cstheme="minorHAnsi"/>
          <w:b/>
          <w:bCs/>
        </w:rPr>
      </w:pPr>
    </w:p>
    <w:p w14:paraId="670F68B3" w14:textId="66679B02" w:rsidR="00883F4F" w:rsidRDefault="00883F4F" w:rsidP="00A9055F">
      <w:pPr>
        <w:jc w:val="both"/>
        <w:rPr>
          <w:rFonts w:asciiTheme="minorHAnsi" w:eastAsia="Segoe UI Light" w:hAnsiTheme="minorHAnsi" w:cstheme="minorHAnsi"/>
          <w:b/>
          <w:bCs/>
        </w:rPr>
      </w:pPr>
    </w:p>
    <w:p w14:paraId="2FB29842" w14:textId="7187F178" w:rsidR="00FB0C1E" w:rsidRDefault="00FB0C1E" w:rsidP="00A9055F">
      <w:pPr>
        <w:jc w:val="both"/>
        <w:rPr>
          <w:rFonts w:asciiTheme="minorHAnsi" w:eastAsia="Segoe UI Light" w:hAnsiTheme="minorHAnsi" w:cstheme="minorHAnsi"/>
          <w:b/>
          <w:bCs/>
        </w:rPr>
      </w:pPr>
    </w:p>
    <w:p w14:paraId="07476C1A" w14:textId="5A0ADD50" w:rsidR="00FB0C1E" w:rsidRDefault="00FB0C1E" w:rsidP="00A9055F">
      <w:pPr>
        <w:jc w:val="both"/>
        <w:rPr>
          <w:rFonts w:asciiTheme="minorHAnsi" w:eastAsia="Segoe UI Light" w:hAnsiTheme="minorHAnsi" w:cstheme="minorHAnsi"/>
          <w:b/>
          <w:bCs/>
        </w:rPr>
      </w:pPr>
    </w:p>
    <w:p w14:paraId="6DD924EB" w14:textId="3E6A49ED" w:rsidR="00FB0C1E" w:rsidRDefault="00FB0C1E" w:rsidP="00A9055F">
      <w:pPr>
        <w:jc w:val="both"/>
        <w:rPr>
          <w:rFonts w:asciiTheme="minorHAnsi" w:eastAsia="Segoe UI Light" w:hAnsiTheme="minorHAnsi" w:cstheme="minorHAnsi"/>
          <w:b/>
          <w:bCs/>
        </w:rPr>
      </w:pPr>
    </w:p>
    <w:p w14:paraId="0EA2DAFF" w14:textId="18B83092" w:rsidR="00FB0C1E" w:rsidRDefault="00FB0C1E" w:rsidP="00A9055F">
      <w:pPr>
        <w:jc w:val="both"/>
        <w:rPr>
          <w:rFonts w:asciiTheme="minorHAnsi" w:eastAsia="Segoe UI Light" w:hAnsiTheme="minorHAnsi" w:cstheme="minorHAnsi"/>
          <w:b/>
          <w:bCs/>
        </w:rPr>
      </w:pPr>
    </w:p>
    <w:p w14:paraId="6D2C12E6" w14:textId="4EDDF4CB" w:rsidR="00FB0C1E" w:rsidRDefault="00FB0C1E" w:rsidP="00A9055F">
      <w:pPr>
        <w:jc w:val="both"/>
        <w:rPr>
          <w:rFonts w:asciiTheme="minorHAnsi" w:eastAsia="Segoe UI Light" w:hAnsiTheme="minorHAnsi" w:cstheme="minorHAnsi"/>
          <w:b/>
          <w:bCs/>
        </w:rPr>
      </w:pPr>
    </w:p>
    <w:p w14:paraId="3404F7AC" w14:textId="3D9E58DA" w:rsidR="00FB0C1E" w:rsidRDefault="00FB0C1E" w:rsidP="00A9055F">
      <w:pPr>
        <w:jc w:val="both"/>
        <w:rPr>
          <w:rFonts w:asciiTheme="minorHAnsi" w:eastAsia="Segoe UI Light" w:hAnsiTheme="minorHAnsi" w:cstheme="minorHAnsi"/>
          <w:b/>
          <w:bCs/>
        </w:rPr>
      </w:pPr>
    </w:p>
    <w:p w14:paraId="7EC37517" w14:textId="2B6FE1A7" w:rsidR="00FB0C1E" w:rsidRDefault="00FB0C1E" w:rsidP="00A9055F">
      <w:pPr>
        <w:jc w:val="both"/>
        <w:rPr>
          <w:rFonts w:asciiTheme="minorHAnsi" w:eastAsia="Segoe UI Light" w:hAnsiTheme="minorHAnsi" w:cstheme="minorHAnsi"/>
          <w:b/>
          <w:bCs/>
        </w:rPr>
      </w:pPr>
    </w:p>
    <w:p w14:paraId="7E308587" w14:textId="77777777" w:rsidR="00FB0C1E" w:rsidRPr="00E20137" w:rsidRDefault="00FB0C1E" w:rsidP="00A9055F">
      <w:pPr>
        <w:jc w:val="both"/>
        <w:rPr>
          <w:rFonts w:asciiTheme="minorHAnsi" w:eastAsia="Segoe UI Light" w:hAnsiTheme="minorHAnsi" w:cstheme="minorHAnsi"/>
          <w:b/>
          <w:bCs/>
        </w:rPr>
      </w:pPr>
    </w:p>
    <w:p w14:paraId="59FF4399" w14:textId="77777777" w:rsidR="00A9055F" w:rsidRPr="00E20137" w:rsidRDefault="00000000" w:rsidP="00A9055F">
      <w:pPr>
        <w:jc w:val="both"/>
        <w:rPr>
          <w:rFonts w:asciiTheme="minorHAnsi" w:eastAsia="Segoe UI Light" w:hAnsiTheme="minorHAnsi" w:cstheme="minorHAnsi"/>
          <w:b/>
          <w:bCs/>
        </w:rPr>
      </w:pPr>
      <w:r w:rsidRPr="00E20137">
        <w:rPr>
          <w:rFonts w:asciiTheme="minorHAnsi" w:eastAsia="Segoe UI Light" w:hAnsiTheme="minorHAnsi" w:cstheme="minorHAnsi"/>
          <w:b/>
          <w:bCs/>
        </w:rPr>
        <w:lastRenderedPageBreak/>
        <w:t>About International Holding Company (IHC)</w:t>
      </w:r>
    </w:p>
    <w:p w14:paraId="30D1302E" w14:textId="51191E1D" w:rsidR="00A9055F" w:rsidRPr="00E2478A" w:rsidRDefault="00000000" w:rsidP="00A9055F">
      <w:pPr>
        <w:jc w:val="both"/>
        <w:rPr>
          <w:rFonts w:asciiTheme="minorHAnsi" w:hAnsiTheme="minorHAnsi" w:cstheme="minorHAnsi"/>
        </w:rPr>
      </w:pPr>
      <w:r w:rsidRPr="00E20137">
        <w:rPr>
          <w:rFonts w:asciiTheme="minorHAnsi" w:hAnsiTheme="minorHAnsi" w:cstheme="minorHAnsi"/>
        </w:rPr>
        <w:t xml:space="preserve">IHC was founded in 1998 as part of an initiative to diversify and develop non-oil business sectors in the UAE and has grown to </w:t>
      </w:r>
      <w:r w:rsidRPr="00E2478A">
        <w:rPr>
          <w:rFonts w:asciiTheme="minorHAnsi" w:hAnsiTheme="minorHAnsi" w:cstheme="minorHAnsi"/>
        </w:rPr>
        <w:t xml:space="preserve">become the most valuable listed holding company in the Middle East with a market cap of </w:t>
      </w:r>
      <w:r w:rsidR="00F9633C" w:rsidRPr="00E2478A">
        <w:rPr>
          <w:rFonts w:asciiTheme="minorHAnsi" w:hAnsiTheme="minorHAnsi" w:cstheme="minorHAnsi"/>
          <w:b/>
          <w:bCs/>
        </w:rPr>
        <w:t xml:space="preserve">AED </w:t>
      </w:r>
      <w:r w:rsidR="005F7B22" w:rsidRPr="00E2478A">
        <w:rPr>
          <w:rFonts w:asciiTheme="minorHAnsi" w:hAnsiTheme="minorHAnsi" w:cstheme="minorHAnsi"/>
          <w:b/>
          <w:bCs/>
        </w:rPr>
        <w:t xml:space="preserve">648 </w:t>
      </w:r>
      <w:r w:rsidRPr="00E2478A">
        <w:rPr>
          <w:rFonts w:asciiTheme="minorHAnsi" w:hAnsiTheme="minorHAnsi" w:cstheme="minorHAnsi"/>
          <w:b/>
          <w:bCs/>
        </w:rPr>
        <w:t xml:space="preserve">billion as of </w:t>
      </w:r>
      <w:r w:rsidR="00DD58A7" w:rsidRPr="00E2478A">
        <w:rPr>
          <w:rFonts w:asciiTheme="minorHAnsi" w:hAnsiTheme="minorHAnsi" w:cstheme="minorHAnsi"/>
          <w:b/>
          <w:bCs/>
        </w:rPr>
        <w:t>Sep</w:t>
      </w:r>
      <w:r w:rsidRPr="00E2478A">
        <w:rPr>
          <w:rFonts w:asciiTheme="minorHAnsi" w:hAnsiTheme="minorHAnsi" w:cstheme="minorHAnsi"/>
          <w:b/>
          <w:bCs/>
        </w:rPr>
        <w:t xml:space="preserve"> 30, 2022.</w:t>
      </w:r>
      <w:r w:rsidRPr="00E2478A">
        <w:rPr>
          <w:rFonts w:asciiTheme="minorHAnsi" w:hAnsiTheme="minorHAnsi" w:cstheme="minorHAnsi"/>
        </w:rPr>
        <w:t xml:space="preserve"> The company endeavors to implement sustainability, innovation, and economic diversification initiatives across what is now one of the region's largest conglomerates. IHC is included in FTSE ADX 15 Index (FADX 15), representing the top 15 largest and most liquid companies on the ADX.</w:t>
      </w:r>
    </w:p>
    <w:p w14:paraId="64322841" w14:textId="77777777" w:rsidR="00A9055F" w:rsidRPr="00E2478A" w:rsidRDefault="00A9055F" w:rsidP="00A9055F">
      <w:pPr>
        <w:jc w:val="both"/>
        <w:rPr>
          <w:rFonts w:asciiTheme="minorHAnsi" w:eastAsia="Segoe UI Light" w:hAnsiTheme="minorHAnsi" w:cstheme="minorHAnsi"/>
        </w:rPr>
      </w:pPr>
    </w:p>
    <w:p w14:paraId="1F41C856" w14:textId="4DBF2968" w:rsidR="00E514C5" w:rsidRPr="00E20137" w:rsidRDefault="00000000" w:rsidP="006C2CE7">
      <w:pPr>
        <w:jc w:val="both"/>
        <w:rPr>
          <w:rFonts w:asciiTheme="minorHAnsi" w:eastAsia="Segoe UI Light" w:hAnsiTheme="minorHAnsi" w:cstheme="minorHAnsi"/>
        </w:rPr>
      </w:pPr>
      <w:r w:rsidRPr="00E2478A">
        <w:rPr>
          <w:rFonts w:asciiTheme="minorHAnsi" w:eastAsia="Segoe UI Light" w:hAnsiTheme="minorHAnsi" w:cstheme="minorHAnsi"/>
        </w:rPr>
        <w:t xml:space="preserve">IHC has a clear objective of enhancing its portfolio through acquisitions, strategic investments, and business combinations. Comprising more than </w:t>
      </w:r>
      <w:r w:rsidR="00C07318" w:rsidRPr="00E2478A">
        <w:rPr>
          <w:rFonts w:asciiTheme="minorHAnsi" w:eastAsia="Segoe UI Light" w:hAnsiTheme="minorHAnsi" w:cstheme="minorHAnsi"/>
          <w:b/>
          <w:bCs/>
        </w:rPr>
        <w:t>422</w:t>
      </w:r>
      <w:r w:rsidRPr="00E2478A">
        <w:rPr>
          <w:rFonts w:asciiTheme="minorHAnsi" w:eastAsia="Segoe UI Light" w:hAnsiTheme="minorHAnsi" w:cstheme="minorHAnsi"/>
          <w:b/>
          <w:bCs/>
        </w:rPr>
        <w:t xml:space="preserve"> </w:t>
      </w:r>
      <w:r w:rsidR="00DD58A7" w:rsidRPr="00E2478A">
        <w:rPr>
          <w:rFonts w:asciiTheme="minorHAnsi" w:eastAsia="Segoe UI Light" w:hAnsiTheme="minorHAnsi" w:cstheme="minorHAnsi"/>
          <w:b/>
          <w:bCs/>
        </w:rPr>
        <w:t>subsidiaries</w:t>
      </w:r>
      <w:r w:rsidR="00DD58A7" w:rsidRPr="00E2478A">
        <w:rPr>
          <w:rFonts w:asciiTheme="minorHAnsi" w:eastAsia="Segoe UI Light" w:hAnsiTheme="minorHAnsi" w:cstheme="minorHAnsi"/>
        </w:rPr>
        <w:t xml:space="preserve"> </w:t>
      </w:r>
      <w:r w:rsidRPr="00E2478A">
        <w:rPr>
          <w:rFonts w:asciiTheme="minorHAnsi" w:eastAsia="Segoe UI Light" w:hAnsiTheme="minorHAnsi" w:cstheme="minorHAnsi"/>
        </w:rPr>
        <w:t xml:space="preserve">and </w:t>
      </w:r>
      <w:r w:rsidR="00F37288" w:rsidRPr="00E2478A">
        <w:rPr>
          <w:rFonts w:asciiTheme="minorHAnsi" w:hAnsiTheme="minorHAnsi" w:cstheme="minorHAnsi"/>
          <w:b/>
          <w:bCs/>
        </w:rPr>
        <w:t>8</w:t>
      </w:r>
      <w:r w:rsidRPr="00E2478A">
        <w:rPr>
          <w:rFonts w:asciiTheme="minorHAnsi" w:hAnsiTheme="minorHAnsi" w:cstheme="minorHAnsi"/>
          <w:b/>
          <w:bCs/>
        </w:rPr>
        <w:t>2,</w:t>
      </w:r>
      <w:r w:rsidR="00F37288" w:rsidRPr="00E2478A">
        <w:rPr>
          <w:rFonts w:asciiTheme="minorHAnsi" w:hAnsiTheme="minorHAnsi" w:cstheme="minorHAnsi"/>
          <w:b/>
          <w:bCs/>
        </w:rPr>
        <w:t>000</w:t>
      </w:r>
      <w:r w:rsidRPr="00E2478A">
        <w:rPr>
          <w:rFonts w:asciiTheme="minorHAnsi" w:hAnsiTheme="minorHAnsi" w:cstheme="minorHAnsi"/>
          <w:b/>
          <w:bCs/>
        </w:rPr>
        <w:t xml:space="preserve"> employees</w:t>
      </w:r>
      <w:r w:rsidRPr="00E2478A">
        <w:rPr>
          <w:rFonts w:asciiTheme="minorHAnsi" w:hAnsiTheme="minorHAnsi" w:cstheme="minorHAnsi"/>
        </w:rPr>
        <w:t>,</w:t>
      </w:r>
      <w:r w:rsidRPr="00E2478A">
        <w:rPr>
          <w:rFonts w:asciiTheme="minorHAnsi" w:eastAsia="Segoe UI Light" w:hAnsiTheme="minorHAnsi" w:cstheme="minorHAnsi"/>
        </w:rPr>
        <w:t xml:space="preserve"> IHC seeks to expand and diversify its holdings across a growing number of sectors, including Real Estate</w:t>
      </w:r>
      <w:r w:rsidR="00E514C5" w:rsidRPr="00E2478A">
        <w:rPr>
          <w:rFonts w:asciiTheme="minorHAnsi" w:eastAsia="Segoe UI Light" w:hAnsiTheme="minorHAnsi" w:cstheme="minorHAnsi"/>
        </w:rPr>
        <w:t xml:space="preserve"> </w:t>
      </w:r>
      <w:r w:rsidR="00E514C5" w:rsidRPr="00E2478A">
        <w:rPr>
          <w:rFonts w:asciiTheme="minorHAnsi" w:hAnsiTheme="minorHAnsi" w:cstheme="minorHAnsi"/>
        </w:rPr>
        <w:t>Developments</w:t>
      </w:r>
      <w:r w:rsidRPr="00E2478A">
        <w:rPr>
          <w:rFonts w:asciiTheme="minorHAnsi" w:eastAsia="Segoe UI Light" w:hAnsiTheme="minorHAnsi" w:cstheme="minorHAnsi"/>
        </w:rPr>
        <w:t>, Agriculture, Healthcare, Food and Beverage, Utilities, Industries, IT and</w:t>
      </w:r>
      <w:r w:rsidRPr="00E20137">
        <w:rPr>
          <w:rFonts w:asciiTheme="minorHAnsi" w:eastAsia="Segoe UI Light" w:hAnsiTheme="minorHAnsi" w:cstheme="minorHAnsi"/>
        </w:rPr>
        <w:t xml:space="preserve"> Communications, Retail and Leisure, and Capital.</w:t>
      </w:r>
    </w:p>
    <w:p w14:paraId="5AB173C4" w14:textId="77777777" w:rsidR="009B4C09" w:rsidRPr="00E20137" w:rsidRDefault="009B4C09" w:rsidP="00A9055F">
      <w:pPr>
        <w:jc w:val="both"/>
        <w:rPr>
          <w:rFonts w:asciiTheme="minorHAnsi" w:eastAsia="Segoe UI Light" w:hAnsiTheme="minorHAnsi" w:cstheme="minorHAnsi"/>
        </w:rPr>
      </w:pPr>
    </w:p>
    <w:p w14:paraId="5DF03701" w14:textId="77777777" w:rsidR="00DD58A7" w:rsidRDefault="00000000" w:rsidP="00317CA6">
      <w:pPr>
        <w:jc w:val="both"/>
        <w:rPr>
          <w:rFonts w:asciiTheme="minorHAnsi" w:eastAsia="Segoe UI Light" w:hAnsiTheme="minorHAnsi" w:cstheme="minorHAnsi"/>
        </w:rPr>
      </w:pPr>
      <w:r w:rsidRPr="00E20137">
        <w:rPr>
          <w:rFonts w:asciiTheme="minorHAnsi" w:eastAsia="Segoe UI Light" w:hAnsiTheme="minorHAnsi" w:cstheme="minorHAnsi"/>
        </w:rPr>
        <w:t xml:space="preserve">With a core strategy to enhance shareholder value and achieve growth, IHC drives operational synergies and maximizes cost efficiencies across all verticals – it also continues </w:t>
      </w:r>
    </w:p>
    <w:p w14:paraId="01EC7595" w14:textId="77777777" w:rsidR="00DD58A7" w:rsidRDefault="00DD58A7" w:rsidP="00317CA6">
      <w:pPr>
        <w:jc w:val="both"/>
        <w:rPr>
          <w:rFonts w:asciiTheme="minorHAnsi" w:eastAsia="Segoe UI Light" w:hAnsiTheme="minorHAnsi" w:cstheme="minorHAnsi"/>
        </w:rPr>
      </w:pPr>
    </w:p>
    <w:p w14:paraId="64B2FB65" w14:textId="637B07F0" w:rsidR="00A9055F" w:rsidRPr="00E20137" w:rsidRDefault="00000000" w:rsidP="00317CA6">
      <w:pPr>
        <w:jc w:val="both"/>
        <w:rPr>
          <w:rFonts w:asciiTheme="minorHAnsi" w:hAnsiTheme="minorHAnsi" w:cstheme="minorHAnsi"/>
        </w:rPr>
      </w:pPr>
      <w:r w:rsidRPr="00E20137">
        <w:rPr>
          <w:rFonts w:asciiTheme="minorHAnsi" w:eastAsia="Segoe UI Light" w:hAnsiTheme="minorHAnsi" w:cstheme="minorHAnsi"/>
        </w:rPr>
        <w:t>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bookmarkEnd w:id="0"/>
    <w:p w14:paraId="178F0F4B" w14:textId="77777777" w:rsidR="00FC28BA" w:rsidRDefault="00FC28BA" w:rsidP="00E20137">
      <w:pPr>
        <w:rPr>
          <w:rFonts w:asciiTheme="minorHAnsi" w:eastAsia="Segoe UI Light" w:hAnsiTheme="minorHAnsi" w:cstheme="minorHAnsi"/>
          <w:b/>
          <w:bCs/>
          <w:sz w:val="21"/>
          <w:szCs w:val="21"/>
        </w:rPr>
      </w:pPr>
    </w:p>
    <w:p w14:paraId="664A673E" w14:textId="77777777" w:rsidR="00FC28BA" w:rsidRDefault="00FC28BA" w:rsidP="00E20137">
      <w:pPr>
        <w:rPr>
          <w:rFonts w:asciiTheme="minorHAnsi" w:eastAsia="Segoe UI Light" w:hAnsiTheme="minorHAnsi" w:cstheme="minorHAnsi"/>
          <w:b/>
          <w:bCs/>
          <w:sz w:val="21"/>
          <w:szCs w:val="21"/>
        </w:rPr>
      </w:pPr>
    </w:p>
    <w:p w14:paraId="4F679BCD" w14:textId="77777777" w:rsidR="00E20137" w:rsidRPr="008E435A" w:rsidRDefault="00000000" w:rsidP="00E20137">
      <w:pPr>
        <w:rPr>
          <w:rFonts w:asciiTheme="minorHAnsi" w:eastAsia="Segoe UI Light" w:hAnsiTheme="minorHAnsi" w:cstheme="minorHAnsi"/>
          <w:b/>
          <w:bCs/>
          <w:sz w:val="21"/>
          <w:szCs w:val="21"/>
        </w:rPr>
      </w:pPr>
      <w:r w:rsidRPr="008E435A">
        <w:rPr>
          <w:rFonts w:asciiTheme="minorHAnsi" w:eastAsia="Segoe UI Light" w:hAnsiTheme="minorHAnsi" w:cstheme="minorHAnsi"/>
          <w:b/>
          <w:bCs/>
          <w:sz w:val="21"/>
          <w:szCs w:val="21"/>
        </w:rPr>
        <w:t>Media Contacts:</w:t>
      </w:r>
    </w:p>
    <w:p w14:paraId="54D0DEFD" w14:textId="77777777" w:rsidR="00E20137" w:rsidRPr="008E435A" w:rsidRDefault="00000000" w:rsidP="00E20137">
      <w:pPr>
        <w:jc w:val="both"/>
        <w:rPr>
          <w:rFonts w:asciiTheme="minorHAnsi" w:eastAsia="Segoe UI Light" w:hAnsiTheme="minorHAnsi" w:cstheme="minorHAnsi"/>
          <w:b/>
          <w:bCs/>
          <w:sz w:val="21"/>
          <w:szCs w:val="21"/>
        </w:rPr>
      </w:pPr>
      <w:r w:rsidRPr="008E435A">
        <w:rPr>
          <w:rFonts w:asciiTheme="minorHAnsi" w:eastAsia="Segoe UI Light" w:hAnsiTheme="minorHAnsi" w:cstheme="minorHAnsi"/>
          <w:b/>
          <w:bCs/>
          <w:sz w:val="21"/>
          <w:szCs w:val="21"/>
        </w:rPr>
        <w:t xml:space="preserve">Ahmad Ibrahim </w:t>
      </w:r>
    </w:p>
    <w:p w14:paraId="6C076FBE" w14:textId="77777777" w:rsidR="00E20137" w:rsidRPr="008E435A" w:rsidRDefault="00000000" w:rsidP="00E20137">
      <w:pPr>
        <w:jc w:val="both"/>
        <w:rPr>
          <w:rFonts w:asciiTheme="minorHAnsi" w:eastAsia="Segoe UI Light" w:hAnsiTheme="minorHAnsi" w:cstheme="minorHAnsi"/>
          <w:sz w:val="21"/>
          <w:szCs w:val="21"/>
        </w:rPr>
      </w:pPr>
      <w:r w:rsidRPr="008E435A">
        <w:rPr>
          <w:rFonts w:asciiTheme="minorHAnsi" w:eastAsia="Segoe UI Light" w:hAnsiTheme="minorHAnsi" w:cstheme="minorHAnsi"/>
          <w:color w:val="001432" w:themeColor="text1"/>
          <w:sz w:val="21"/>
          <w:szCs w:val="21"/>
        </w:rPr>
        <w:t xml:space="preserve">Head of Marketing and Corporate Communication </w:t>
      </w:r>
    </w:p>
    <w:p w14:paraId="7456B213" w14:textId="77777777" w:rsidR="00E20137" w:rsidRPr="008E435A" w:rsidRDefault="00000000" w:rsidP="00E20137">
      <w:pPr>
        <w:jc w:val="both"/>
        <w:rPr>
          <w:rFonts w:asciiTheme="minorHAnsi" w:eastAsia="Segoe UI Light" w:hAnsiTheme="minorHAnsi" w:cstheme="minorHAnsi"/>
          <w:sz w:val="21"/>
          <w:szCs w:val="21"/>
        </w:rPr>
      </w:pPr>
      <w:r w:rsidRPr="008E435A">
        <w:rPr>
          <w:rFonts w:asciiTheme="minorHAnsi" w:eastAsia="Segoe UI Light" w:hAnsiTheme="minorHAnsi" w:cstheme="minorHAnsi"/>
          <w:sz w:val="21"/>
          <w:szCs w:val="21"/>
        </w:rPr>
        <w:t xml:space="preserve">International Holding Company </w:t>
      </w:r>
    </w:p>
    <w:p w14:paraId="3CFA6C07" w14:textId="77777777" w:rsidR="00E20137" w:rsidRPr="008E435A" w:rsidRDefault="00000000" w:rsidP="00E20137">
      <w:pPr>
        <w:spacing w:line="276" w:lineRule="auto"/>
        <w:jc w:val="both"/>
        <w:rPr>
          <w:rFonts w:asciiTheme="minorHAnsi" w:eastAsia="Segoe UI Light" w:hAnsiTheme="minorHAnsi" w:cstheme="minorHAnsi"/>
          <w:sz w:val="21"/>
          <w:szCs w:val="21"/>
        </w:rPr>
      </w:pPr>
      <w:hyperlink r:id="rId12" w:history="1">
        <w:r w:rsidRPr="008E435A">
          <w:rPr>
            <w:rStyle w:val="Hyperlink"/>
            <w:rFonts w:asciiTheme="minorHAnsi" w:eastAsia="Segoe UI Light" w:hAnsiTheme="minorHAnsi" w:cstheme="minorHAnsi"/>
            <w:color w:val="auto"/>
            <w:sz w:val="21"/>
            <w:szCs w:val="21"/>
          </w:rPr>
          <w:t>ahmad.ibrahim@ihcuae.com</w:t>
        </w:r>
      </w:hyperlink>
    </w:p>
    <w:p w14:paraId="6E0F1C63" w14:textId="77777777" w:rsidR="002027E4" w:rsidRPr="008E435A" w:rsidRDefault="002027E4" w:rsidP="009D70AB">
      <w:pPr>
        <w:spacing w:line="276" w:lineRule="auto"/>
        <w:jc w:val="both"/>
        <w:rPr>
          <w:rFonts w:asciiTheme="minorHAnsi" w:eastAsia="Segoe UI Light" w:hAnsiTheme="minorHAnsi" w:cstheme="minorHAnsi"/>
          <w:sz w:val="21"/>
          <w:szCs w:val="21"/>
        </w:rPr>
      </w:pPr>
    </w:p>
    <w:sectPr w:rsidR="002027E4" w:rsidRPr="008E435A" w:rsidSect="00084C98">
      <w:headerReference w:type="even" r:id="rId13"/>
      <w:headerReference w:type="default" r:id="rId14"/>
      <w:footerReference w:type="even" r:id="rId15"/>
      <w:footerReference w:type="default" r:id="rId16"/>
      <w:headerReference w:type="first" r:id="rId17"/>
      <w:footerReference w:type="first" r:id="rId18"/>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0390" w14:textId="77777777" w:rsidR="00814FDD" w:rsidRDefault="00814FDD">
      <w:r>
        <w:separator/>
      </w:r>
    </w:p>
  </w:endnote>
  <w:endnote w:type="continuationSeparator" w:id="0">
    <w:p w14:paraId="07532FC7" w14:textId="77777777" w:rsidR="00814FDD" w:rsidRDefault="0081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CE4" w14:textId="77777777" w:rsidR="00FA10F8" w:rsidRDefault="00FA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0971"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1BE3"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E672" w14:textId="77777777" w:rsidR="00814FDD" w:rsidRDefault="00814FDD">
      <w:r>
        <w:separator/>
      </w:r>
    </w:p>
  </w:footnote>
  <w:footnote w:type="continuationSeparator" w:id="0">
    <w:p w14:paraId="06CF0294" w14:textId="77777777" w:rsidR="00814FDD" w:rsidRDefault="0081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C257" w14:textId="77777777" w:rsidR="00FA10F8" w:rsidRDefault="00FA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2115" w14:textId="77777777" w:rsidR="004C182C" w:rsidRDefault="004C182C" w:rsidP="004C182C">
    <w:pPr>
      <w:jc w:val="right"/>
      <w:rPr>
        <w:sz w:val="28"/>
        <w:szCs w:val="28"/>
      </w:rPr>
    </w:pPr>
  </w:p>
  <w:p w14:paraId="3EF210B3" w14:textId="77777777" w:rsidR="00F3521F" w:rsidRDefault="00000000" w:rsidP="00F3521F">
    <w:pPr>
      <w:jc w:val="right"/>
      <w:rPr>
        <w:sz w:val="28"/>
        <w:szCs w:val="28"/>
      </w:rPr>
    </w:pPr>
    <w:r>
      <w:rPr>
        <w:noProof/>
      </w:rPr>
      <w:drawing>
        <wp:anchor distT="0" distB="0" distL="114300" distR="114300" simplePos="0" relativeHeight="251659264" behindDoc="0" locked="0" layoutInCell="1" allowOverlap="1" wp14:anchorId="3488E015" wp14:editId="020966AA">
          <wp:simplePos x="0" y="0"/>
          <wp:positionH relativeFrom="column">
            <wp:posOffset>4743450</wp:posOffset>
          </wp:positionH>
          <wp:positionV relativeFrom="paragraph">
            <wp:posOffset>158750</wp:posOffset>
          </wp:positionV>
          <wp:extent cx="799179" cy="850900"/>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91C">
      <w:rPr>
        <w:sz w:val="28"/>
        <w:szCs w:val="28"/>
      </w:rPr>
      <w:t xml:space="preserve"> </w:t>
    </w:r>
  </w:p>
  <w:p w14:paraId="67777658" w14:textId="77777777" w:rsidR="00F3521F" w:rsidRDefault="00F3521F" w:rsidP="00F3521F">
    <w:pPr>
      <w:jc w:val="right"/>
      <w:rPr>
        <w:sz w:val="28"/>
        <w:szCs w:val="28"/>
      </w:rPr>
    </w:pPr>
  </w:p>
  <w:p w14:paraId="6D040D92" w14:textId="77777777" w:rsidR="00F3521F" w:rsidRDefault="00F3521F" w:rsidP="00F3521F">
    <w:pPr>
      <w:jc w:val="right"/>
      <w:rPr>
        <w:sz w:val="28"/>
        <w:szCs w:val="28"/>
      </w:rPr>
    </w:pPr>
  </w:p>
  <w:p w14:paraId="4F8980B1" w14:textId="77777777" w:rsidR="009051E3" w:rsidRDefault="009051E3" w:rsidP="00F3521F">
    <w:pPr>
      <w:jc w:val="right"/>
      <w:rPr>
        <w:sz w:val="28"/>
        <w:szCs w:val="28"/>
      </w:rPr>
    </w:pPr>
  </w:p>
  <w:p w14:paraId="691ADA71" w14:textId="77777777" w:rsidR="00F3521F" w:rsidRDefault="00F3521F" w:rsidP="00F3521F">
    <w:pPr>
      <w:jc w:val="right"/>
      <w:rPr>
        <w:sz w:val="28"/>
        <w:szCs w:val="28"/>
      </w:rPr>
    </w:pPr>
  </w:p>
  <w:p w14:paraId="463B2094" w14:textId="77777777" w:rsidR="00F3521F" w:rsidRPr="00F3521F" w:rsidRDefault="00000000" w:rsidP="00F3521F">
    <w:pPr>
      <w:jc w:val="right"/>
      <w:rPr>
        <w:sz w:val="28"/>
        <w:szCs w:val="28"/>
      </w:rPr>
    </w:pPr>
    <w:r w:rsidRPr="00B91029">
      <w:rPr>
        <w:rFonts w:ascii="Arial" w:hAnsi="Arial" w:cs="Arial"/>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5634" w14:textId="77777777" w:rsidR="009E3A37" w:rsidRDefault="00000000" w:rsidP="00A4291C">
    <w:pPr>
      <w:jc w:val="right"/>
      <w:rPr>
        <w:sz w:val="28"/>
        <w:szCs w:val="28"/>
      </w:rPr>
    </w:pPr>
    <w:r>
      <w:rPr>
        <w:noProof/>
      </w:rPr>
      <w:drawing>
        <wp:anchor distT="0" distB="0" distL="114300" distR="114300" simplePos="0" relativeHeight="251658240" behindDoc="0" locked="0" layoutInCell="1" allowOverlap="1" wp14:anchorId="3DB443DA" wp14:editId="479BCF99">
          <wp:simplePos x="0" y="0"/>
          <wp:positionH relativeFrom="column">
            <wp:posOffset>4743450</wp:posOffset>
          </wp:positionH>
          <wp:positionV relativeFrom="paragraph">
            <wp:posOffset>158750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41FFE26E" w14:textId="77777777" w:rsidR="00893E7F" w:rsidRDefault="00893E7F" w:rsidP="002953E3">
    <w:pPr>
      <w:jc w:val="right"/>
      <w:rPr>
        <w:sz w:val="28"/>
        <w:szCs w:val="28"/>
      </w:rPr>
    </w:pPr>
  </w:p>
  <w:p w14:paraId="109E7220" w14:textId="77777777" w:rsidR="008E435A" w:rsidRDefault="008E435A" w:rsidP="002953E3">
    <w:pPr>
      <w:jc w:val="right"/>
      <w:rPr>
        <w:sz w:val="28"/>
        <w:szCs w:val="28"/>
      </w:rPr>
    </w:pPr>
  </w:p>
  <w:p w14:paraId="298CF923" w14:textId="77777777" w:rsidR="00893E7F" w:rsidRDefault="00893E7F" w:rsidP="002953E3">
    <w:pPr>
      <w:jc w:val="right"/>
      <w:rPr>
        <w:sz w:val="28"/>
        <w:szCs w:val="28"/>
      </w:rPr>
    </w:pPr>
  </w:p>
  <w:p w14:paraId="203E8072" w14:textId="77777777" w:rsidR="00893E7F" w:rsidRDefault="00893E7F" w:rsidP="002953E3">
    <w:pPr>
      <w:jc w:val="right"/>
      <w:rPr>
        <w:sz w:val="28"/>
        <w:szCs w:val="28"/>
      </w:rPr>
    </w:pPr>
  </w:p>
  <w:p w14:paraId="18D248E4" w14:textId="77777777" w:rsidR="00EB56B2" w:rsidRPr="00B91029" w:rsidRDefault="00000000" w:rsidP="002953E3">
    <w:pPr>
      <w:jc w:val="right"/>
      <w:rPr>
        <w:rFonts w:ascii="Arial" w:hAnsi="Arial" w:cs="Arial"/>
      </w:rPr>
    </w:pPr>
    <w:r w:rsidRPr="00B91029">
      <w:rPr>
        <w:rFonts w:ascii="Arial" w:hAnsi="Arial" w:cs="Arial"/>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0DF246C6">
      <w:start w:val="1"/>
      <w:numFmt w:val="bullet"/>
      <w:lvlText w:val=""/>
      <w:lvlJc w:val="left"/>
      <w:pPr>
        <w:ind w:left="1440" w:hanging="360"/>
      </w:pPr>
      <w:rPr>
        <w:rFonts w:ascii="Symbol" w:hAnsi="Symbol" w:hint="default"/>
      </w:rPr>
    </w:lvl>
    <w:lvl w:ilvl="1" w:tplc="8438F996" w:tentative="1">
      <w:start w:val="1"/>
      <w:numFmt w:val="bullet"/>
      <w:lvlText w:val="o"/>
      <w:lvlJc w:val="left"/>
      <w:pPr>
        <w:ind w:left="2160" w:hanging="360"/>
      </w:pPr>
      <w:rPr>
        <w:rFonts w:ascii="Courier New" w:hAnsi="Courier New" w:cs="Courier New" w:hint="default"/>
      </w:rPr>
    </w:lvl>
    <w:lvl w:ilvl="2" w:tplc="800837EA" w:tentative="1">
      <w:start w:val="1"/>
      <w:numFmt w:val="bullet"/>
      <w:lvlText w:val=""/>
      <w:lvlJc w:val="left"/>
      <w:pPr>
        <w:ind w:left="2880" w:hanging="360"/>
      </w:pPr>
      <w:rPr>
        <w:rFonts w:ascii="Wingdings" w:hAnsi="Wingdings" w:hint="default"/>
      </w:rPr>
    </w:lvl>
    <w:lvl w:ilvl="3" w:tplc="95CE69E6" w:tentative="1">
      <w:start w:val="1"/>
      <w:numFmt w:val="bullet"/>
      <w:lvlText w:val=""/>
      <w:lvlJc w:val="left"/>
      <w:pPr>
        <w:ind w:left="3600" w:hanging="360"/>
      </w:pPr>
      <w:rPr>
        <w:rFonts w:ascii="Symbol" w:hAnsi="Symbol" w:hint="default"/>
      </w:rPr>
    </w:lvl>
    <w:lvl w:ilvl="4" w:tplc="1DEC48EE" w:tentative="1">
      <w:start w:val="1"/>
      <w:numFmt w:val="bullet"/>
      <w:lvlText w:val="o"/>
      <w:lvlJc w:val="left"/>
      <w:pPr>
        <w:ind w:left="4320" w:hanging="360"/>
      </w:pPr>
      <w:rPr>
        <w:rFonts w:ascii="Courier New" w:hAnsi="Courier New" w:cs="Courier New" w:hint="default"/>
      </w:rPr>
    </w:lvl>
    <w:lvl w:ilvl="5" w:tplc="68FE556A" w:tentative="1">
      <w:start w:val="1"/>
      <w:numFmt w:val="bullet"/>
      <w:lvlText w:val=""/>
      <w:lvlJc w:val="left"/>
      <w:pPr>
        <w:ind w:left="5040" w:hanging="360"/>
      </w:pPr>
      <w:rPr>
        <w:rFonts w:ascii="Wingdings" w:hAnsi="Wingdings" w:hint="default"/>
      </w:rPr>
    </w:lvl>
    <w:lvl w:ilvl="6" w:tplc="2DBE3EF2" w:tentative="1">
      <w:start w:val="1"/>
      <w:numFmt w:val="bullet"/>
      <w:lvlText w:val=""/>
      <w:lvlJc w:val="left"/>
      <w:pPr>
        <w:ind w:left="5760" w:hanging="360"/>
      </w:pPr>
      <w:rPr>
        <w:rFonts w:ascii="Symbol" w:hAnsi="Symbol" w:hint="default"/>
      </w:rPr>
    </w:lvl>
    <w:lvl w:ilvl="7" w:tplc="5B24E400" w:tentative="1">
      <w:start w:val="1"/>
      <w:numFmt w:val="bullet"/>
      <w:lvlText w:val="o"/>
      <w:lvlJc w:val="left"/>
      <w:pPr>
        <w:ind w:left="6480" w:hanging="360"/>
      </w:pPr>
      <w:rPr>
        <w:rFonts w:ascii="Courier New" w:hAnsi="Courier New" w:cs="Courier New" w:hint="default"/>
      </w:rPr>
    </w:lvl>
    <w:lvl w:ilvl="8" w:tplc="77A0CF8A"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42C4B596">
      <w:start w:val="5"/>
      <w:numFmt w:val="bullet"/>
      <w:lvlText w:val="-"/>
      <w:lvlJc w:val="left"/>
      <w:pPr>
        <w:ind w:left="720" w:hanging="360"/>
      </w:pPr>
      <w:rPr>
        <w:rFonts w:ascii="Segoe UI Light" w:eastAsia="Times New Roman" w:hAnsi="Segoe UI Light" w:cs="Segoe UI Light" w:hint="default"/>
      </w:rPr>
    </w:lvl>
    <w:lvl w:ilvl="1" w:tplc="AC0A8B90" w:tentative="1">
      <w:start w:val="1"/>
      <w:numFmt w:val="bullet"/>
      <w:lvlText w:val="o"/>
      <w:lvlJc w:val="left"/>
      <w:pPr>
        <w:ind w:left="1440" w:hanging="360"/>
      </w:pPr>
      <w:rPr>
        <w:rFonts w:ascii="Courier New" w:hAnsi="Courier New" w:cs="Courier New" w:hint="default"/>
      </w:rPr>
    </w:lvl>
    <w:lvl w:ilvl="2" w:tplc="ACD8543A" w:tentative="1">
      <w:start w:val="1"/>
      <w:numFmt w:val="bullet"/>
      <w:lvlText w:val=""/>
      <w:lvlJc w:val="left"/>
      <w:pPr>
        <w:ind w:left="2160" w:hanging="360"/>
      </w:pPr>
      <w:rPr>
        <w:rFonts w:ascii="Wingdings" w:hAnsi="Wingdings" w:hint="default"/>
      </w:rPr>
    </w:lvl>
    <w:lvl w:ilvl="3" w:tplc="B5D8CD84" w:tentative="1">
      <w:start w:val="1"/>
      <w:numFmt w:val="bullet"/>
      <w:lvlText w:val=""/>
      <w:lvlJc w:val="left"/>
      <w:pPr>
        <w:ind w:left="2880" w:hanging="360"/>
      </w:pPr>
      <w:rPr>
        <w:rFonts w:ascii="Symbol" w:hAnsi="Symbol" w:hint="default"/>
      </w:rPr>
    </w:lvl>
    <w:lvl w:ilvl="4" w:tplc="D520EC16" w:tentative="1">
      <w:start w:val="1"/>
      <w:numFmt w:val="bullet"/>
      <w:lvlText w:val="o"/>
      <w:lvlJc w:val="left"/>
      <w:pPr>
        <w:ind w:left="3600" w:hanging="360"/>
      </w:pPr>
      <w:rPr>
        <w:rFonts w:ascii="Courier New" w:hAnsi="Courier New" w:cs="Courier New" w:hint="default"/>
      </w:rPr>
    </w:lvl>
    <w:lvl w:ilvl="5" w:tplc="8612D38C" w:tentative="1">
      <w:start w:val="1"/>
      <w:numFmt w:val="bullet"/>
      <w:lvlText w:val=""/>
      <w:lvlJc w:val="left"/>
      <w:pPr>
        <w:ind w:left="4320" w:hanging="360"/>
      </w:pPr>
      <w:rPr>
        <w:rFonts w:ascii="Wingdings" w:hAnsi="Wingdings" w:hint="default"/>
      </w:rPr>
    </w:lvl>
    <w:lvl w:ilvl="6" w:tplc="4CC82118" w:tentative="1">
      <w:start w:val="1"/>
      <w:numFmt w:val="bullet"/>
      <w:lvlText w:val=""/>
      <w:lvlJc w:val="left"/>
      <w:pPr>
        <w:ind w:left="5040" w:hanging="360"/>
      </w:pPr>
      <w:rPr>
        <w:rFonts w:ascii="Symbol" w:hAnsi="Symbol" w:hint="default"/>
      </w:rPr>
    </w:lvl>
    <w:lvl w:ilvl="7" w:tplc="F13AEADA" w:tentative="1">
      <w:start w:val="1"/>
      <w:numFmt w:val="bullet"/>
      <w:lvlText w:val="o"/>
      <w:lvlJc w:val="left"/>
      <w:pPr>
        <w:ind w:left="5760" w:hanging="360"/>
      </w:pPr>
      <w:rPr>
        <w:rFonts w:ascii="Courier New" w:hAnsi="Courier New" w:cs="Courier New" w:hint="default"/>
      </w:rPr>
    </w:lvl>
    <w:lvl w:ilvl="8" w:tplc="43625812" w:tentative="1">
      <w:start w:val="1"/>
      <w:numFmt w:val="bullet"/>
      <w:lvlText w:val=""/>
      <w:lvlJc w:val="left"/>
      <w:pPr>
        <w:ind w:left="6480" w:hanging="360"/>
      </w:pPr>
      <w:rPr>
        <w:rFonts w:ascii="Wingdings" w:hAnsi="Wingdings" w:hint="default"/>
      </w:rPr>
    </w:lvl>
  </w:abstractNum>
  <w:abstractNum w:abstractNumId="2" w15:restartNumberingAfterBreak="0">
    <w:nsid w:val="16E46B1E"/>
    <w:multiLevelType w:val="hybridMultilevel"/>
    <w:tmpl w:val="6E32E912"/>
    <w:lvl w:ilvl="0" w:tplc="F4DC40D2">
      <w:start w:val="1"/>
      <w:numFmt w:val="bullet"/>
      <w:lvlText w:val=""/>
      <w:lvlJc w:val="left"/>
      <w:pPr>
        <w:ind w:left="720" w:hanging="360"/>
      </w:pPr>
      <w:rPr>
        <w:rFonts w:ascii="Symbol" w:hAnsi="Symbol" w:hint="default"/>
      </w:rPr>
    </w:lvl>
    <w:lvl w:ilvl="1" w:tplc="0D584D32" w:tentative="1">
      <w:start w:val="1"/>
      <w:numFmt w:val="bullet"/>
      <w:lvlText w:val="o"/>
      <w:lvlJc w:val="left"/>
      <w:pPr>
        <w:ind w:left="1440" w:hanging="360"/>
      </w:pPr>
      <w:rPr>
        <w:rFonts w:ascii="Courier New" w:hAnsi="Courier New" w:cs="Courier New" w:hint="default"/>
      </w:rPr>
    </w:lvl>
    <w:lvl w:ilvl="2" w:tplc="CE622C34" w:tentative="1">
      <w:start w:val="1"/>
      <w:numFmt w:val="bullet"/>
      <w:lvlText w:val=""/>
      <w:lvlJc w:val="left"/>
      <w:pPr>
        <w:ind w:left="2160" w:hanging="360"/>
      </w:pPr>
      <w:rPr>
        <w:rFonts w:ascii="Wingdings" w:hAnsi="Wingdings" w:hint="default"/>
      </w:rPr>
    </w:lvl>
    <w:lvl w:ilvl="3" w:tplc="2A185526" w:tentative="1">
      <w:start w:val="1"/>
      <w:numFmt w:val="bullet"/>
      <w:lvlText w:val=""/>
      <w:lvlJc w:val="left"/>
      <w:pPr>
        <w:ind w:left="2880" w:hanging="360"/>
      </w:pPr>
      <w:rPr>
        <w:rFonts w:ascii="Symbol" w:hAnsi="Symbol" w:hint="default"/>
      </w:rPr>
    </w:lvl>
    <w:lvl w:ilvl="4" w:tplc="FB22E166" w:tentative="1">
      <w:start w:val="1"/>
      <w:numFmt w:val="bullet"/>
      <w:lvlText w:val="o"/>
      <w:lvlJc w:val="left"/>
      <w:pPr>
        <w:ind w:left="3600" w:hanging="360"/>
      </w:pPr>
      <w:rPr>
        <w:rFonts w:ascii="Courier New" w:hAnsi="Courier New" w:cs="Courier New" w:hint="default"/>
      </w:rPr>
    </w:lvl>
    <w:lvl w:ilvl="5" w:tplc="AAAAEC2A" w:tentative="1">
      <w:start w:val="1"/>
      <w:numFmt w:val="bullet"/>
      <w:lvlText w:val=""/>
      <w:lvlJc w:val="left"/>
      <w:pPr>
        <w:ind w:left="4320" w:hanging="360"/>
      </w:pPr>
      <w:rPr>
        <w:rFonts w:ascii="Wingdings" w:hAnsi="Wingdings" w:hint="default"/>
      </w:rPr>
    </w:lvl>
    <w:lvl w:ilvl="6" w:tplc="BC8E06AA" w:tentative="1">
      <w:start w:val="1"/>
      <w:numFmt w:val="bullet"/>
      <w:lvlText w:val=""/>
      <w:lvlJc w:val="left"/>
      <w:pPr>
        <w:ind w:left="5040" w:hanging="360"/>
      </w:pPr>
      <w:rPr>
        <w:rFonts w:ascii="Symbol" w:hAnsi="Symbol" w:hint="default"/>
      </w:rPr>
    </w:lvl>
    <w:lvl w:ilvl="7" w:tplc="FF60AC64" w:tentative="1">
      <w:start w:val="1"/>
      <w:numFmt w:val="bullet"/>
      <w:lvlText w:val="o"/>
      <w:lvlJc w:val="left"/>
      <w:pPr>
        <w:ind w:left="5760" w:hanging="360"/>
      </w:pPr>
      <w:rPr>
        <w:rFonts w:ascii="Courier New" w:hAnsi="Courier New" w:cs="Courier New" w:hint="default"/>
      </w:rPr>
    </w:lvl>
    <w:lvl w:ilvl="8" w:tplc="09A8AC44" w:tentative="1">
      <w:start w:val="1"/>
      <w:numFmt w:val="bullet"/>
      <w:lvlText w:val=""/>
      <w:lvlJc w:val="left"/>
      <w:pPr>
        <w:ind w:left="6480" w:hanging="360"/>
      </w:pPr>
      <w:rPr>
        <w:rFonts w:ascii="Wingdings" w:hAnsi="Wingdings" w:hint="default"/>
      </w:rPr>
    </w:lvl>
  </w:abstractNum>
  <w:abstractNum w:abstractNumId="3" w15:restartNumberingAfterBreak="0">
    <w:nsid w:val="4F5E095B"/>
    <w:multiLevelType w:val="hybridMultilevel"/>
    <w:tmpl w:val="8182CE14"/>
    <w:lvl w:ilvl="0" w:tplc="91EA5376">
      <w:start w:val="1"/>
      <w:numFmt w:val="bullet"/>
      <w:pStyle w:val="Bullets1"/>
      <w:lvlText w:val=""/>
      <w:lvlJc w:val="left"/>
      <w:pPr>
        <w:ind w:left="720" w:hanging="360"/>
      </w:pPr>
      <w:rPr>
        <w:rFonts w:ascii="Wingdings" w:hAnsi="Wingdings" w:hint="default"/>
      </w:rPr>
    </w:lvl>
    <w:lvl w:ilvl="1" w:tplc="3E36F6FC">
      <w:start w:val="1"/>
      <w:numFmt w:val="bullet"/>
      <w:lvlText w:val="o"/>
      <w:lvlJc w:val="left"/>
      <w:pPr>
        <w:ind w:left="1440" w:hanging="360"/>
      </w:pPr>
      <w:rPr>
        <w:rFonts w:ascii="Courier New" w:hAnsi="Courier New" w:cs="Courier New" w:hint="default"/>
      </w:rPr>
    </w:lvl>
    <w:lvl w:ilvl="2" w:tplc="BCCC9634" w:tentative="1">
      <w:start w:val="1"/>
      <w:numFmt w:val="bullet"/>
      <w:lvlText w:val=""/>
      <w:lvlJc w:val="left"/>
      <w:pPr>
        <w:ind w:left="2160" w:hanging="360"/>
      </w:pPr>
      <w:rPr>
        <w:rFonts w:ascii="Wingdings" w:hAnsi="Wingdings" w:hint="default"/>
      </w:rPr>
    </w:lvl>
    <w:lvl w:ilvl="3" w:tplc="E6C491F2" w:tentative="1">
      <w:start w:val="1"/>
      <w:numFmt w:val="bullet"/>
      <w:lvlText w:val=""/>
      <w:lvlJc w:val="left"/>
      <w:pPr>
        <w:ind w:left="2880" w:hanging="360"/>
      </w:pPr>
      <w:rPr>
        <w:rFonts w:ascii="Symbol" w:hAnsi="Symbol" w:hint="default"/>
      </w:rPr>
    </w:lvl>
    <w:lvl w:ilvl="4" w:tplc="8ED06964" w:tentative="1">
      <w:start w:val="1"/>
      <w:numFmt w:val="bullet"/>
      <w:lvlText w:val="o"/>
      <w:lvlJc w:val="left"/>
      <w:pPr>
        <w:ind w:left="3600" w:hanging="360"/>
      </w:pPr>
      <w:rPr>
        <w:rFonts w:ascii="Courier New" w:hAnsi="Courier New" w:cs="Courier New" w:hint="default"/>
      </w:rPr>
    </w:lvl>
    <w:lvl w:ilvl="5" w:tplc="8F7C0432" w:tentative="1">
      <w:start w:val="1"/>
      <w:numFmt w:val="bullet"/>
      <w:lvlText w:val=""/>
      <w:lvlJc w:val="left"/>
      <w:pPr>
        <w:ind w:left="4320" w:hanging="360"/>
      </w:pPr>
      <w:rPr>
        <w:rFonts w:ascii="Wingdings" w:hAnsi="Wingdings" w:hint="default"/>
      </w:rPr>
    </w:lvl>
    <w:lvl w:ilvl="6" w:tplc="29DA0D80" w:tentative="1">
      <w:start w:val="1"/>
      <w:numFmt w:val="bullet"/>
      <w:lvlText w:val=""/>
      <w:lvlJc w:val="left"/>
      <w:pPr>
        <w:ind w:left="5040" w:hanging="360"/>
      </w:pPr>
      <w:rPr>
        <w:rFonts w:ascii="Symbol" w:hAnsi="Symbol" w:hint="default"/>
      </w:rPr>
    </w:lvl>
    <w:lvl w:ilvl="7" w:tplc="3B104020" w:tentative="1">
      <w:start w:val="1"/>
      <w:numFmt w:val="bullet"/>
      <w:lvlText w:val="o"/>
      <w:lvlJc w:val="left"/>
      <w:pPr>
        <w:ind w:left="5760" w:hanging="360"/>
      </w:pPr>
      <w:rPr>
        <w:rFonts w:ascii="Courier New" w:hAnsi="Courier New" w:cs="Courier New" w:hint="default"/>
      </w:rPr>
    </w:lvl>
    <w:lvl w:ilvl="8" w:tplc="800E0566" w:tentative="1">
      <w:start w:val="1"/>
      <w:numFmt w:val="bullet"/>
      <w:lvlText w:val=""/>
      <w:lvlJc w:val="left"/>
      <w:pPr>
        <w:ind w:left="6480" w:hanging="360"/>
      </w:pPr>
      <w:rPr>
        <w:rFonts w:ascii="Wingdings" w:hAnsi="Wingdings" w:hint="default"/>
      </w:rPr>
    </w:lvl>
  </w:abstractNum>
  <w:abstractNum w:abstractNumId="4" w15:restartNumberingAfterBreak="0">
    <w:nsid w:val="50185E32"/>
    <w:multiLevelType w:val="hybridMultilevel"/>
    <w:tmpl w:val="543AAFD6"/>
    <w:lvl w:ilvl="0" w:tplc="1BE43FF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126FEC"/>
    <w:multiLevelType w:val="hybridMultilevel"/>
    <w:tmpl w:val="F5382086"/>
    <w:lvl w:ilvl="0" w:tplc="720CD2DA">
      <w:start w:val="1"/>
      <w:numFmt w:val="bullet"/>
      <w:lvlText w:val=""/>
      <w:lvlJc w:val="left"/>
      <w:pPr>
        <w:ind w:left="720" w:hanging="360"/>
      </w:pPr>
      <w:rPr>
        <w:rFonts w:ascii="Symbol" w:hAnsi="Symbol" w:hint="default"/>
      </w:rPr>
    </w:lvl>
    <w:lvl w:ilvl="1" w:tplc="7FCE9364" w:tentative="1">
      <w:start w:val="1"/>
      <w:numFmt w:val="bullet"/>
      <w:lvlText w:val="o"/>
      <w:lvlJc w:val="left"/>
      <w:pPr>
        <w:ind w:left="1440" w:hanging="360"/>
      </w:pPr>
      <w:rPr>
        <w:rFonts w:ascii="Courier New" w:hAnsi="Courier New" w:cs="Courier New" w:hint="default"/>
      </w:rPr>
    </w:lvl>
    <w:lvl w:ilvl="2" w:tplc="E3642218" w:tentative="1">
      <w:start w:val="1"/>
      <w:numFmt w:val="bullet"/>
      <w:lvlText w:val=""/>
      <w:lvlJc w:val="left"/>
      <w:pPr>
        <w:ind w:left="2160" w:hanging="360"/>
      </w:pPr>
      <w:rPr>
        <w:rFonts w:ascii="Wingdings" w:hAnsi="Wingdings" w:hint="default"/>
      </w:rPr>
    </w:lvl>
    <w:lvl w:ilvl="3" w:tplc="34642810" w:tentative="1">
      <w:start w:val="1"/>
      <w:numFmt w:val="bullet"/>
      <w:lvlText w:val=""/>
      <w:lvlJc w:val="left"/>
      <w:pPr>
        <w:ind w:left="2880" w:hanging="360"/>
      </w:pPr>
      <w:rPr>
        <w:rFonts w:ascii="Symbol" w:hAnsi="Symbol" w:hint="default"/>
      </w:rPr>
    </w:lvl>
    <w:lvl w:ilvl="4" w:tplc="71F08030" w:tentative="1">
      <w:start w:val="1"/>
      <w:numFmt w:val="bullet"/>
      <w:lvlText w:val="o"/>
      <w:lvlJc w:val="left"/>
      <w:pPr>
        <w:ind w:left="3600" w:hanging="360"/>
      </w:pPr>
      <w:rPr>
        <w:rFonts w:ascii="Courier New" w:hAnsi="Courier New" w:cs="Courier New" w:hint="default"/>
      </w:rPr>
    </w:lvl>
    <w:lvl w:ilvl="5" w:tplc="495EE8CC" w:tentative="1">
      <w:start w:val="1"/>
      <w:numFmt w:val="bullet"/>
      <w:lvlText w:val=""/>
      <w:lvlJc w:val="left"/>
      <w:pPr>
        <w:ind w:left="4320" w:hanging="360"/>
      </w:pPr>
      <w:rPr>
        <w:rFonts w:ascii="Wingdings" w:hAnsi="Wingdings" w:hint="default"/>
      </w:rPr>
    </w:lvl>
    <w:lvl w:ilvl="6" w:tplc="904E6CA0" w:tentative="1">
      <w:start w:val="1"/>
      <w:numFmt w:val="bullet"/>
      <w:lvlText w:val=""/>
      <w:lvlJc w:val="left"/>
      <w:pPr>
        <w:ind w:left="5040" w:hanging="360"/>
      </w:pPr>
      <w:rPr>
        <w:rFonts w:ascii="Symbol" w:hAnsi="Symbol" w:hint="default"/>
      </w:rPr>
    </w:lvl>
    <w:lvl w:ilvl="7" w:tplc="CA304F74" w:tentative="1">
      <w:start w:val="1"/>
      <w:numFmt w:val="bullet"/>
      <w:lvlText w:val="o"/>
      <w:lvlJc w:val="left"/>
      <w:pPr>
        <w:ind w:left="5760" w:hanging="360"/>
      </w:pPr>
      <w:rPr>
        <w:rFonts w:ascii="Courier New" w:hAnsi="Courier New" w:cs="Courier New" w:hint="default"/>
      </w:rPr>
    </w:lvl>
    <w:lvl w:ilvl="8" w:tplc="6C349046" w:tentative="1">
      <w:start w:val="1"/>
      <w:numFmt w:val="bullet"/>
      <w:lvlText w:val=""/>
      <w:lvlJc w:val="left"/>
      <w:pPr>
        <w:ind w:left="6480" w:hanging="360"/>
      </w:pPr>
      <w:rPr>
        <w:rFonts w:ascii="Wingdings" w:hAnsi="Wingdings" w:hint="default"/>
      </w:rPr>
    </w:lvl>
  </w:abstractNum>
  <w:abstractNum w:abstractNumId="6" w15:restartNumberingAfterBreak="0">
    <w:nsid w:val="625E7362"/>
    <w:multiLevelType w:val="hybridMultilevel"/>
    <w:tmpl w:val="9B76880C"/>
    <w:lvl w:ilvl="0" w:tplc="2998220E">
      <w:start w:val="1"/>
      <w:numFmt w:val="bullet"/>
      <w:lvlText w:val=""/>
      <w:lvlJc w:val="left"/>
      <w:pPr>
        <w:ind w:left="720" w:hanging="360"/>
      </w:pPr>
      <w:rPr>
        <w:rFonts w:ascii="Wingdings" w:hAnsi="Wingdings" w:hint="default"/>
      </w:rPr>
    </w:lvl>
    <w:lvl w:ilvl="1" w:tplc="B49C55C2" w:tentative="1">
      <w:start w:val="1"/>
      <w:numFmt w:val="bullet"/>
      <w:lvlText w:val="o"/>
      <w:lvlJc w:val="left"/>
      <w:pPr>
        <w:ind w:left="1440" w:hanging="360"/>
      </w:pPr>
      <w:rPr>
        <w:rFonts w:ascii="Courier New" w:hAnsi="Courier New" w:cs="Courier New" w:hint="default"/>
      </w:rPr>
    </w:lvl>
    <w:lvl w:ilvl="2" w:tplc="8C3AF90A" w:tentative="1">
      <w:start w:val="1"/>
      <w:numFmt w:val="bullet"/>
      <w:lvlText w:val=""/>
      <w:lvlJc w:val="left"/>
      <w:pPr>
        <w:ind w:left="2160" w:hanging="360"/>
      </w:pPr>
      <w:rPr>
        <w:rFonts w:ascii="Wingdings" w:hAnsi="Wingdings" w:hint="default"/>
      </w:rPr>
    </w:lvl>
    <w:lvl w:ilvl="3" w:tplc="81AAD366" w:tentative="1">
      <w:start w:val="1"/>
      <w:numFmt w:val="bullet"/>
      <w:lvlText w:val=""/>
      <w:lvlJc w:val="left"/>
      <w:pPr>
        <w:ind w:left="2880" w:hanging="360"/>
      </w:pPr>
      <w:rPr>
        <w:rFonts w:ascii="Symbol" w:hAnsi="Symbol" w:hint="default"/>
      </w:rPr>
    </w:lvl>
    <w:lvl w:ilvl="4" w:tplc="995ABB9C" w:tentative="1">
      <w:start w:val="1"/>
      <w:numFmt w:val="bullet"/>
      <w:lvlText w:val="o"/>
      <w:lvlJc w:val="left"/>
      <w:pPr>
        <w:ind w:left="3600" w:hanging="360"/>
      </w:pPr>
      <w:rPr>
        <w:rFonts w:ascii="Courier New" w:hAnsi="Courier New" w:cs="Courier New" w:hint="default"/>
      </w:rPr>
    </w:lvl>
    <w:lvl w:ilvl="5" w:tplc="EBEC5F08" w:tentative="1">
      <w:start w:val="1"/>
      <w:numFmt w:val="bullet"/>
      <w:lvlText w:val=""/>
      <w:lvlJc w:val="left"/>
      <w:pPr>
        <w:ind w:left="4320" w:hanging="360"/>
      </w:pPr>
      <w:rPr>
        <w:rFonts w:ascii="Wingdings" w:hAnsi="Wingdings" w:hint="default"/>
      </w:rPr>
    </w:lvl>
    <w:lvl w:ilvl="6" w:tplc="1F0A04B4" w:tentative="1">
      <w:start w:val="1"/>
      <w:numFmt w:val="bullet"/>
      <w:lvlText w:val=""/>
      <w:lvlJc w:val="left"/>
      <w:pPr>
        <w:ind w:left="5040" w:hanging="360"/>
      </w:pPr>
      <w:rPr>
        <w:rFonts w:ascii="Symbol" w:hAnsi="Symbol" w:hint="default"/>
      </w:rPr>
    </w:lvl>
    <w:lvl w:ilvl="7" w:tplc="D4C06BA0" w:tentative="1">
      <w:start w:val="1"/>
      <w:numFmt w:val="bullet"/>
      <w:lvlText w:val="o"/>
      <w:lvlJc w:val="left"/>
      <w:pPr>
        <w:ind w:left="5760" w:hanging="360"/>
      </w:pPr>
      <w:rPr>
        <w:rFonts w:ascii="Courier New" w:hAnsi="Courier New" w:cs="Courier New" w:hint="default"/>
      </w:rPr>
    </w:lvl>
    <w:lvl w:ilvl="8" w:tplc="5EDA3B8C" w:tentative="1">
      <w:start w:val="1"/>
      <w:numFmt w:val="bullet"/>
      <w:lvlText w:val=""/>
      <w:lvlJc w:val="left"/>
      <w:pPr>
        <w:ind w:left="6480" w:hanging="360"/>
      </w:pPr>
      <w:rPr>
        <w:rFonts w:ascii="Wingdings" w:hAnsi="Wingdings" w:hint="default"/>
      </w:rPr>
    </w:lvl>
  </w:abstractNum>
  <w:abstractNum w:abstractNumId="7" w15:restartNumberingAfterBreak="0">
    <w:nsid w:val="64A27839"/>
    <w:multiLevelType w:val="hybridMultilevel"/>
    <w:tmpl w:val="EBB2D2D0"/>
    <w:lvl w:ilvl="0" w:tplc="E14EFB70">
      <w:start w:val="1"/>
      <w:numFmt w:val="bullet"/>
      <w:lvlText w:val=""/>
      <w:lvlJc w:val="left"/>
      <w:pPr>
        <w:ind w:left="720" w:hanging="360"/>
      </w:pPr>
      <w:rPr>
        <w:rFonts w:ascii="Symbol" w:hAnsi="Symbol" w:hint="default"/>
      </w:rPr>
    </w:lvl>
    <w:lvl w:ilvl="1" w:tplc="8C3EB316" w:tentative="1">
      <w:start w:val="1"/>
      <w:numFmt w:val="bullet"/>
      <w:lvlText w:val="o"/>
      <w:lvlJc w:val="left"/>
      <w:pPr>
        <w:ind w:left="1440" w:hanging="360"/>
      </w:pPr>
      <w:rPr>
        <w:rFonts w:ascii="Courier New" w:hAnsi="Courier New" w:cs="Courier New" w:hint="default"/>
      </w:rPr>
    </w:lvl>
    <w:lvl w:ilvl="2" w:tplc="E0246004" w:tentative="1">
      <w:start w:val="1"/>
      <w:numFmt w:val="bullet"/>
      <w:lvlText w:val=""/>
      <w:lvlJc w:val="left"/>
      <w:pPr>
        <w:ind w:left="2160" w:hanging="360"/>
      </w:pPr>
      <w:rPr>
        <w:rFonts w:ascii="Wingdings" w:hAnsi="Wingdings" w:hint="default"/>
      </w:rPr>
    </w:lvl>
    <w:lvl w:ilvl="3" w:tplc="0A0EFD20" w:tentative="1">
      <w:start w:val="1"/>
      <w:numFmt w:val="bullet"/>
      <w:lvlText w:val=""/>
      <w:lvlJc w:val="left"/>
      <w:pPr>
        <w:ind w:left="2880" w:hanging="360"/>
      </w:pPr>
      <w:rPr>
        <w:rFonts w:ascii="Symbol" w:hAnsi="Symbol" w:hint="default"/>
      </w:rPr>
    </w:lvl>
    <w:lvl w:ilvl="4" w:tplc="7D98BBB6" w:tentative="1">
      <w:start w:val="1"/>
      <w:numFmt w:val="bullet"/>
      <w:lvlText w:val="o"/>
      <w:lvlJc w:val="left"/>
      <w:pPr>
        <w:ind w:left="3600" w:hanging="360"/>
      </w:pPr>
      <w:rPr>
        <w:rFonts w:ascii="Courier New" w:hAnsi="Courier New" w:cs="Courier New" w:hint="default"/>
      </w:rPr>
    </w:lvl>
    <w:lvl w:ilvl="5" w:tplc="B492F4A4" w:tentative="1">
      <w:start w:val="1"/>
      <w:numFmt w:val="bullet"/>
      <w:lvlText w:val=""/>
      <w:lvlJc w:val="left"/>
      <w:pPr>
        <w:ind w:left="4320" w:hanging="360"/>
      </w:pPr>
      <w:rPr>
        <w:rFonts w:ascii="Wingdings" w:hAnsi="Wingdings" w:hint="default"/>
      </w:rPr>
    </w:lvl>
    <w:lvl w:ilvl="6" w:tplc="FE406DFC" w:tentative="1">
      <w:start w:val="1"/>
      <w:numFmt w:val="bullet"/>
      <w:lvlText w:val=""/>
      <w:lvlJc w:val="left"/>
      <w:pPr>
        <w:ind w:left="5040" w:hanging="360"/>
      </w:pPr>
      <w:rPr>
        <w:rFonts w:ascii="Symbol" w:hAnsi="Symbol" w:hint="default"/>
      </w:rPr>
    </w:lvl>
    <w:lvl w:ilvl="7" w:tplc="EB582C58" w:tentative="1">
      <w:start w:val="1"/>
      <w:numFmt w:val="bullet"/>
      <w:lvlText w:val="o"/>
      <w:lvlJc w:val="left"/>
      <w:pPr>
        <w:ind w:left="5760" w:hanging="360"/>
      </w:pPr>
      <w:rPr>
        <w:rFonts w:ascii="Courier New" w:hAnsi="Courier New" w:cs="Courier New" w:hint="default"/>
      </w:rPr>
    </w:lvl>
    <w:lvl w:ilvl="8" w:tplc="8D66F7F2" w:tentative="1">
      <w:start w:val="1"/>
      <w:numFmt w:val="bullet"/>
      <w:lvlText w:val=""/>
      <w:lvlJc w:val="left"/>
      <w:pPr>
        <w:ind w:left="6480" w:hanging="360"/>
      </w:pPr>
      <w:rPr>
        <w:rFonts w:ascii="Wingdings" w:hAnsi="Wingdings" w:hint="default"/>
      </w:rPr>
    </w:lvl>
  </w:abstractNum>
  <w:abstractNum w:abstractNumId="8" w15:restartNumberingAfterBreak="0">
    <w:nsid w:val="774260A2"/>
    <w:multiLevelType w:val="hybridMultilevel"/>
    <w:tmpl w:val="7DEA186C"/>
    <w:lvl w:ilvl="0" w:tplc="69BCC860">
      <w:start w:val="1"/>
      <w:numFmt w:val="bullet"/>
      <w:lvlText w:val=""/>
      <w:lvlJc w:val="left"/>
      <w:pPr>
        <w:ind w:left="360" w:hanging="360"/>
      </w:pPr>
      <w:rPr>
        <w:rFonts w:ascii="Symbol" w:hAnsi="Symbol" w:hint="default"/>
      </w:rPr>
    </w:lvl>
    <w:lvl w:ilvl="1" w:tplc="AF8AB280">
      <w:numFmt w:val="bullet"/>
      <w:pStyle w:val="bullet2"/>
      <w:lvlText w:val="-"/>
      <w:lvlJc w:val="left"/>
      <w:pPr>
        <w:ind w:left="1080" w:hanging="360"/>
      </w:pPr>
      <w:rPr>
        <w:rFonts w:ascii="Calibri" w:eastAsiaTheme="minorHAnsi" w:hAnsi="Calibri" w:cstheme="minorBidi" w:hint="default"/>
      </w:rPr>
    </w:lvl>
    <w:lvl w:ilvl="2" w:tplc="779C395A" w:tentative="1">
      <w:start w:val="1"/>
      <w:numFmt w:val="bullet"/>
      <w:lvlText w:val=""/>
      <w:lvlJc w:val="left"/>
      <w:pPr>
        <w:ind w:left="1800" w:hanging="360"/>
      </w:pPr>
      <w:rPr>
        <w:rFonts w:ascii="Wingdings" w:hAnsi="Wingdings" w:hint="default"/>
      </w:rPr>
    </w:lvl>
    <w:lvl w:ilvl="3" w:tplc="7F2C44CA" w:tentative="1">
      <w:start w:val="1"/>
      <w:numFmt w:val="bullet"/>
      <w:lvlText w:val=""/>
      <w:lvlJc w:val="left"/>
      <w:pPr>
        <w:ind w:left="2520" w:hanging="360"/>
      </w:pPr>
      <w:rPr>
        <w:rFonts w:ascii="Symbol" w:hAnsi="Symbol" w:hint="default"/>
      </w:rPr>
    </w:lvl>
    <w:lvl w:ilvl="4" w:tplc="503C6F08" w:tentative="1">
      <w:start w:val="1"/>
      <w:numFmt w:val="bullet"/>
      <w:lvlText w:val="o"/>
      <w:lvlJc w:val="left"/>
      <w:pPr>
        <w:ind w:left="3240" w:hanging="360"/>
      </w:pPr>
      <w:rPr>
        <w:rFonts w:ascii="Courier New" w:hAnsi="Courier New" w:cs="Courier New" w:hint="default"/>
      </w:rPr>
    </w:lvl>
    <w:lvl w:ilvl="5" w:tplc="00AE772C" w:tentative="1">
      <w:start w:val="1"/>
      <w:numFmt w:val="bullet"/>
      <w:lvlText w:val=""/>
      <w:lvlJc w:val="left"/>
      <w:pPr>
        <w:ind w:left="3960" w:hanging="360"/>
      </w:pPr>
      <w:rPr>
        <w:rFonts w:ascii="Wingdings" w:hAnsi="Wingdings" w:hint="default"/>
      </w:rPr>
    </w:lvl>
    <w:lvl w:ilvl="6" w:tplc="78E2F954" w:tentative="1">
      <w:start w:val="1"/>
      <w:numFmt w:val="bullet"/>
      <w:lvlText w:val=""/>
      <w:lvlJc w:val="left"/>
      <w:pPr>
        <w:ind w:left="4680" w:hanging="360"/>
      </w:pPr>
      <w:rPr>
        <w:rFonts w:ascii="Symbol" w:hAnsi="Symbol" w:hint="default"/>
      </w:rPr>
    </w:lvl>
    <w:lvl w:ilvl="7" w:tplc="936632AA" w:tentative="1">
      <w:start w:val="1"/>
      <w:numFmt w:val="bullet"/>
      <w:lvlText w:val="o"/>
      <w:lvlJc w:val="left"/>
      <w:pPr>
        <w:ind w:left="5400" w:hanging="360"/>
      </w:pPr>
      <w:rPr>
        <w:rFonts w:ascii="Courier New" w:hAnsi="Courier New" w:cs="Courier New" w:hint="default"/>
      </w:rPr>
    </w:lvl>
    <w:lvl w:ilvl="8" w:tplc="2A3CCCC8" w:tentative="1">
      <w:start w:val="1"/>
      <w:numFmt w:val="bullet"/>
      <w:lvlText w:val=""/>
      <w:lvlJc w:val="left"/>
      <w:pPr>
        <w:ind w:left="6120" w:hanging="360"/>
      </w:pPr>
      <w:rPr>
        <w:rFonts w:ascii="Wingdings" w:hAnsi="Wingdings" w:hint="default"/>
      </w:rPr>
    </w:lvl>
  </w:abstractNum>
  <w:abstractNum w:abstractNumId="9" w15:restartNumberingAfterBreak="0">
    <w:nsid w:val="792A1ACA"/>
    <w:multiLevelType w:val="hybridMultilevel"/>
    <w:tmpl w:val="DB4444DE"/>
    <w:lvl w:ilvl="0" w:tplc="9D00B6A8">
      <w:start w:val="1"/>
      <w:numFmt w:val="decimal"/>
      <w:pStyle w:val="ListParagraph"/>
      <w:lvlText w:val="%1."/>
      <w:lvlJc w:val="left"/>
      <w:pPr>
        <w:ind w:left="360" w:hanging="360"/>
      </w:pPr>
    </w:lvl>
    <w:lvl w:ilvl="1" w:tplc="DBD656A8" w:tentative="1">
      <w:start w:val="1"/>
      <w:numFmt w:val="lowerLetter"/>
      <w:lvlText w:val="%2."/>
      <w:lvlJc w:val="left"/>
      <w:pPr>
        <w:ind w:left="1080" w:hanging="360"/>
      </w:pPr>
    </w:lvl>
    <w:lvl w:ilvl="2" w:tplc="CBDC42D6" w:tentative="1">
      <w:start w:val="1"/>
      <w:numFmt w:val="lowerRoman"/>
      <w:lvlText w:val="%3."/>
      <w:lvlJc w:val="right"/>
      <w:pPr>
        <w:ind w:left="1800" w:hanging="180"/>
      </w:pPr>
    </w:lvl>
    <w:lvl w:ilvl="3" w:tplc="657017B4" w:tentative="1">
      <w:start w:val="1"/>
      <w:numFmt w:val="decimal"/>
      <w:lvlText w:val="%4."/>
      <w:lvlJc w:val="left"/>
      <w:pPr>
        <w:ind w:left="2520" w:hanging="360"/>
      </w:pPr>
    </w:lvl>
    <w:lvl w:ilvl="4" w:tplc="BBA09F40" w:tentative="1">
      <w:start w:val="1"/>
      <w:numFmt w:val="lowerLetter"/>
      <w:lvlText w:val="%5."/>
      <w:lvlJc w:val="left"/>
      <w:pPr>
        <w:ind w:left="3240" w:hanging="360"/>
      </w:pPr>
    </w:lvl>
    <w:lvl w:ilvl="5" w:tplc="C5EC69B0" w:tentative="1">
      <w:start w:val="1"/>
      <w:numFmt w:val="lowerRoman"/>
      <w:lvlText w:val="%6."/>
      <w:lvlJc w:val="right"/>
      <w:pPr>
        <w:ind w:left="3960" w:hanging="180"/>
      </w:pPr>
    </w:lvl>
    <w:lvl w:ilvl="6" w:tplc="DACC8658" w:tentative="1">
      <w:start w:val="1"/>
      <w:numFmt w:val="decimal"/>
      <w:lvlText w:val="%7."/>
      <w:lvlJc w:val="left"/>
      <w:pPr>
        <w:ind w:left="4680" w:hanging="360"/>
      </w:pPr>
    </w:lvl>
    <w:lvl w:ilvl="7" w:tplc="3D762B06" w:tentative="1">
      <w:start w:val="1"/>
      <w:numFmt w:val="lowerLetter"/>
      <w:lvlText w:val="%8."/>
      <w:lvlJc w:val="left"/>
      <w:pPr>
        <w:ind w:left="5400" w:hanging="360"/>
      </w:pPr>
    </w:lvl>
    <w:lvl w:ilvl="8" w:tplc="EC12FDE8" w:tentative="1">
      <w:start w:val="1"/>
      <w:numFmt w:val="lowerRoman"/>
      <w:lvlText w:val="%9."/>
      <w:lvlJc w:val="right"/>
      <w:pPr>
        <w:ind w:left="6120" w:hanging="180"/>
      </w:pPr>
    </w:lvl>
  </w:abstractNum>
  <w:num w:numId="1" w16cid:durableId="877010819">
    <w:abstractNumId w:val="3"/>
  </w:num>
  <w:num w:numId="2" w16cid:durableId="578369416">
    <w:abstractNumId w:val="8"/>
  </w:num>
  <w:num w:numId="3" w16cid:durableId="1963027353">
    <w:abstractNumId w:val="9"/>
  </w:num>
  <w:num w:numId="4" w16cid:durableId="1994992332">
    <w:abstractNumId w:val="0"/>
  </w:num>
  <w:num w:numId="5" w16cid:durableId="688408602">
    <w:abstractNumId w:val="6"/>
  </w:num>
  <w:num w:numId="6" w16cid:durableId="1761221735">
    <w:abstractNumId w:val="1"/>
  </w:num>
  <w:num w:numId="7" w16cid:durableId="1475566591">
    <w:abstractNumId w:val="2"/>
  </w:num>
  <w:num w:numId="8" w16cid:durableId="756439010">
    <w:abstractNumId w:val="5"/>
  </w:num>
  <w:num w:numId="9" w16cid:durableId="1675262172">
    <w:abstractNumId w:val="7"/>
  </w:num>
  <w:num w:numId="10" w16cid:durableId="6045061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0FC"/>
    <w:rsid w:val="00001CD5"/>
    <w:rsid w:val="000023FD"/>
    <w:rsid w:val="00006F90"/>
    <w:rsid w:val="0001197D"/>
    <w:rsid w:val="00013B08"/>
    <w:rsid w:val="000142E8"/>
    <w:rsid w:val="00014E46"/>
    <w:rsid w:val="00015197"/>
    <w:rsid w:val="00023E5E"/>
    <w:rsid w:val="00024D99"/>
    <w:rsid w:val="00025AF8"/>
    <w:rsid w:val="00026A2A"/>
    <w:rsid w:val="0002713F"/>
    <w:rsid w:val="00030C35"/>
    <w:rsid w:val="000327B7"/>
    <w:rsid w:val="00032AA5"/>
    <w:rsid w:val="00032B88"/>
    <w:rsid w:val="0003539E"/>
    <w:rsid w:val="00036CE6"/>
    <w:rsid w:val="000401E8"/>
    <w:rsid w:val="0004131A"/>
    <w:rsid w:val="0004197F"/>
    <w:rsid w:val="00041A8B"/>
    <w:rsid w:val="000433B0"/>
    <w:rsid w:val="000452BD"/>
    <w:rsid w:val="0004614C"/>
    <w:rsid w:val="00046B03"/>
    <w:rsid w:val="0004780F"/>
    <w:rsid w:val="00051E72"/>
    <w:rsid w:val="000520EE"/>
    <w:rsid w:val="00052B6B"/>
    <w:rsid w:val="000533DA"/>
    <w:rsid w:val="00054202"/>
    <w:rsid w:val="00060527"/>
    <w:rsid w:val="00060862"/>
    <w:rsid w:val="000662D1"/>
    <w:rsid w:val="0006686B"/>
    <w:rsid w:val="000724A1"/>
    <w:rsid w:val="00072531"/>
    <w:rsid w:val="000729DD"/>
    <w:rsid w:val="00077544"/>
    <w:rsid w:val="00082705"/>
    <w:rsid w:val="0008350A"/>
    <w:rsid w:val="00084C98"/>
    <w:rsid w:val="00085423"/>
    <w:rsid w:val="00092828"/>
    <w:rsid w:val="00092E94"/>
    <w:rsid w:val="00094B20"/>
    <w:rsid w:val="00094DEA"/>
    <w:rsid w:val="00097052"/>
    <w:rsid w:val="000A03E9"/>
    <w:rsid w:val="000A2861"/>
    <w:rsid w:val="000A3AEE"/>
    <w:rsid w:val="000A3DB2"/>
    <w:rsid w:val="000A4EE0"/>
    <w:rsid w:val="000A5E9B"/>
    <w:rsid w:val="000A6360"/>
    <w:rsid w:val="000B7797"/>
    <w:rsid w:val="000B7CB2"/>
    <w:rsid w:val="000C0F24"/>
    <w:rsid w:val="000C10B6"/>
    <w:rsid w:val="000C48E0"/>
    <w:rsid w:val="000C5168"/>
    <w:rsid w:val="000C598C"/>
    <w:rsid w:val="000D17F4"/>
    <w:rsid w:val="000D2A5C"/>
    <w:rsid w:val="000D5564"/>
    <w:rsid w:val="000D5618"/>
    <w:rsid w:val="000D5F30"/>
    <w:rsid w:val="000D71D9"/>
    <w:rsid w:val="000D7A21"/>
    <w:rsid w:val="000E0F24"/>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0EBF"/>
    <w:rsid w:val="00111DB9"/>
    <w:rsid w:val="0011673A"/>
    <w:rsid w:val="00117895"/>
    <w:rsid w:val="00126841"/>
    <w:rsid w:val="0012688E"/>
    <w:rsid w:val="0013090E"/>
    <w:rsid w:val="00130D65"/>
    <w:rsid w:val="00131AA0"/>
    <w:rsid w:val="00140636"/>
    <w:rsid w:val="00144F6A"/>
    <w:rsid w:val="001450E9"/>
    <w:rsid w:val="001505CA"/>
    <w:rsid w:val="00152837"/>
    <w:rsid w:val="00153E03"/>
    <w:rsid w:val="00154B3F"/>
    <w:rsid w:val="00155562"/>
    <w:rsid w:val="001562D2"/>
    <w:rsid w:val="00156FF6"/>
    <w:rsid w:val="001572E0"/>
    <w:rsid w:val="00157303"/>
    <w:rsid w:val="00160270"/>
    <w:rsid w:val="0016112A"/>
    <w:rsid w:val="001619D6"/>
    <w:rsid w:val="00162E4E"/>
    <w:rsid w:val="001642C0"/>
    <w:rsid w:val="0016436A"/>
    <w:rsid w:val="001665A8"/>
    <w:rsid w:val="00166FB1"/>
    <w:rsid w:val="001702AD"/>
    <w:rsid w:val="00170F51"/>
    <w:rsid w:val="00172139"/>
    <w:rsid w:val="00177625"/>
    <w:rsid w:val="00182E1E"/>
    <w:rsid w:val="00185712"/>
    <w:rsid w:val="00185A19"/>
    <w:rsid w:val="00186FB7"/>
    <w:rsid w:val="001875C9"/>
    <w:rsid w:val="001903B5"/>
    <w:rsid w:val="00192ABC"/>
    <w:rsid w:val="00192F0A"/>
    <w:rsid w:val="001943AE"/>
    <w:rsid w:val="00194F31"/>
    <w:rsid w:val="00195A52"/>
    <w:rsid w:val="0019625A"/>
    <w:rsid w:val="001A4FA4"/>
    <w:rsid w:val="001A589B"/>
    <w:rsid w:val="001B1308"/>
    <w:rsid w:val="001B1C40"/>
    <w:rsid w:val="001B29E3"/>
    <w:rsid w:val="001B2F00"/>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13"/>
    <w:rsid w:val="002027E4"/>
    <w:rsid w:val="00203410"/>
    <w:rsid w:val="0020386E"/>
    <w:rsid w:val="002076F5"/>
    <w:rsid w:val="00207B1D"/>
    <w:rsid w:val="002122BC"/>
    <w:rsid w:val="002123C2"/>
    <w:rsid w:val="00212B3A"/>
    <w:rsid w:val="00212B6D"/>
    <w:rsid w:val="00212E7C"/>
    <w:rsid w:val="00213209"/>
    <w:rsid w:val="002143E1"/>
    <w:rsid w:val="00215695"/>
    <w:rsid w:val="0021617B"/>
    <w:rsid w:val="00217EF2"/>
    <w:rsid w:val="002200BA"/>
    <w:rsid w:val="00220612"/>
    <w:rsid w:val="002222D5"/>
    <w:rsid w:val="002244DF"/>
    <w:rsid w:val="00225D01"/>
    <w:rsid w:val="00226726"/>
    <w:rsid w:val="00226992"/>
    <w:rsid w:val="00235E10"/>
    <w:rsid w:val="00235F7A"/>
    <w:rsid w:val="00236765"/>
    <w:rsid w:val="00236F61"/>
    <w:rsid w:val="0024070C"/>
    <w:rsid w:val="002415B4"/>
    <w:rsid w:val="002431D1"/>
    <w:rsid w:val="00247B0F"/>
    <w:rsid w:val="00250481"/>
    <w:rsid w:val="002521D3"/>
    <w:rsid w:val="00252460"/>
    <w:rsid w:val="00253A26"/>
    <w:rsid w:val="00253DCA"/>
    <w:rsid w:val="00254006"/>
    <w:rsid w:val="002542EB"/>
    <w:rsid w:val="00260D0B"/>
    <w:rsid w:val="002616CE"/>
    <w:rsid w:val="00262E46"/>
    <w:rsid w:val="00263667"/>
    <w:rsid w:val="00264B41"/>
    <w:rsid w:val="002654E7"/>
    <w:rsid w:val="00267905"/>
    <w:rsid w:val="00270195"/>
    <w:rsid w:val="002701D8"/>
    <w:rsid w:val="00270AC6"/>
    <w:rsid w:val="00270EEC"/>
    <w:rsid w:val="00273E56"/>
    <w:rsid w:val="00274A0A"/>
    <w:rsid w:val="00275FFA"/>
    <w:rsid w:val="00276262"/>
    <w:rsid w:val="00276A66"/>
    <w:rsid w:val="002778BB"/>
    <w:rsid w:val="00283962"/>
    <w:rsid w:val="00283A50"/>
    <w:rsid w:val="00284DDD"/>
    <w:rsid w:val="00285C81"/>
    <w:rsid w:val="00286D25"/>
    <w:rsid w:val="00286D41"/>
    <w:rsid w:val="002877CB"/>
    <w:rsid w:val="002910F5"/>
    <w:rsid w:val="00292319"/>
    <w:rsid w:val="002931EF"/>
    <w:rsid w:val="00293E81"/>
    <w:rsid w:val="00294C06"/>
    <w:rsid w:val="002953E3"/>
    <w:rsid w:val="002971AD"/>
    <w:rsid w:val="00297467"/>
    <w:rsid w:val="00297BB6"/>
    <w:rsid w:val="002A1AC2"/>
    <w:rsid w:val="002A3CC2"/>
    <w:rsid w:val="002A55E2"/>
    <w:rsid w:val="002A580E"/>
    <w:rsid w:val="002A6716"/>
    <w:rsid w:val="002B0560"/>
    <w:rsid w:val="002B0E4C"/>
    <w:rsid w:val="002B27EA"/>
    <w:rsid w:val="002B34E2"/>
    <w:rsid w:val="002B3756"/>
    <w:rsid w:val="002B3A57"/>
    <w:rsid w:val="002B3B10"/>
    <w:rsid w:val="002B435A"/>
    <w:rsid w:val="002B500B"/>
    <w:rsid w:val="002B7B0E"/>
    <w:rsid w:val="002C005F"/>
    <w:rsid w:val="002C0BEF"/>
    <w:rsid w:val="002C1418"/>
    <w:rsid w:val="002C346A"/>
    <w:rsid w:val="002C5A5E"/>
    <w:rsid w:val="002C6CF0"/>
    <w:rsid w:val="002C6E61"/>
    <w:rsid w:val="002C7D4C"/>
    <w:rsid w:val="002D288D"/>
    <w:rsid w:val="002E0BA1"/>
    <w:rsid w:val="002E31BD"/>
    <w:rsid w:val="002E3419"/>
    <w:rsid w:val="002E4322"/>
    <w:rsid w:val="002E56FC"/>
    <w:rsid w:val="002E6BA7"/>
    <w:rsid w:val="002F1576"/>
    <w:rsid w:val="002F2072"/>
    <w:rsid w:val="002F3301"/>
    <w:rsid w:val="002F344F"/>
    <w:rsid w:val="002F361D"/>
    <w:rsid w:val="002F4744"/>
    <w:rsid w:val="002F77D1"/>
    <w:rsid w:val="0030003E"/>
    <w:rsid w:val="003013F7"/>
    <w:rsid w:val="00305648"/>
    <w:rsid w:val="00306D6F"/>
    <w:rsid w:val="003072EB"/>
    <w:rsid w:val="00311E09"/>
    <w:rsid w:val="00314117"/>
    <w:rsid w:val="00314118"/>
    <w:rsid w:val="00314F51"/>
    <w:rsid w:val="00315AD6"/>
    <w:rsid w:val="0031740E"/>
    <w:rsid w:val="00317CA6"/>
    <w:rsid w:val="00317CD6"/>
    <w:rsid w:val="003201CA"/>
    <w:rsid w:val="0032115F"/>
    <w:rsid w:val="00321C35"/>
    <w:rsid w:val="00324C2F"/>
    <w:rsid w:val="00324F21"/>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00FD"/>
    <w:rsid w:val="003528CB"/>
    <w:rsid w:val="00353DBF"/>
    <w:rsid w:val="003577BF"/>
    <w:rsid w:val="00360B03"/>
    <w:rsid w:val="003619C0"/>
    <w:rsid w:val="00362A9C"/>
    <w:rsid w:val="00364DF0"/>
    <w:rsid w:val="00370A2C"/>
    <w:rsid w:val="00373E8B"/>
    <w:rsid w:val="00376001"/>
    <w:rsid w:val="0037775C"/>
    <w:rsid w:val="00377E77"/>
    <w:rsid w:val="00382059"/>
    <w:rsid w:val="00382218"/>
    <w:rsid w:val="00382544"/>
    <w:rsid w:val="00382BB1"/>
    <w:rsid w:val="00384964"/>
    <w:rsid w:val="00384EA3"/>
    <w:rsid w:val="00385B6B"/>
    <w:rsid w:val="00387131"/>
    <w:rsid w:val="00390780"/>
    <w:rsid w:val="00392689"/>
    <w:rsid w:val="0039478F"/>
    <w:rsid w:val="003A07A6"/>
    <w:rsid w:val="003A6C61"/>
    <w:rsid w:val="003A707E"/>
    <w:rsid w:val="003A78D1"/>
    <w:rsid w:val="003B448F"/>
    <w:rsid w:val="003B535E"/>
    <w:rsid w:val="003B6F6C"/>
    <w:rsid w:val="003B7E20"/>
    <w:rsid w:val="003C0FF7"/>
    <w:rsid w:val="003C45FE"/>
    <w:rsid w:val="003C59C7"/>
    <w:rsid w:val="003C61A3"/>
    <w:rsid w:val="003C7A32"/>
    <w:rsid w:val="003D276E"/>
    <w:rsid w:val="003D437D"/>
    <w:rsid w:val="003D54BE"/>
    <w:rsid w:val="003D6427"/>
    <w:rsid w:val="003E00E9"/>
    <w:rsid w:val="003E1172"/>
    <w:rsid w:val="003E2B08"/>
    <w:rsid w:val="003E36E0"/>
    <w:rsid w:val="003E38A7"/>
    <w:rsid w:val="003E6AA9"/>
    <w:rsid w:val="003E6D51"/>
    <w:rsid w:val="003E7AF5"/>
    <w:rsid w:val="003F2B75"/>
    <w:rsid w:val="003F3C6C"/>
    <w:rsid w:val="003F59C5"/>
    <w:rsid w:val="003F5F64"/>
    <w:rsid w:val="003F7ED1"/>
    <w:rsid w:val="00400332"/>
    <w:rsid w:val="0040037A"/>
    <w:rsid w:val="004076CD"/>
    <w:rsid w:val="00410AC1"/>
    <w:rsid w:val="00410C84"/>
    <w:rsid w:val="00410E02"/>
    <w:rsid w:val="004119F5"/>
    <w:rsid w:val="00414920"/>
    <w:rsid w:val="004162CF"/>
    <w:rsid w:val="00422F83"/>
    <w:rsid w:val="00424531"/>
    <w:rsid w:val="004246F4"/>
    <w:rsid w:val="00426D4C"/>
    <w:rsid w:val="00430826"/>
    <w:rsid w:val="0043525A"/>
    <w:rsid w:val="004357AF"/>
    <w:rsid w:val="00440C98"/>
    <w:rsid w:val="00442CB8"/>
    <w:rsid w:val="00444E06"/>
    <w:rsid w:val="0044564D"/>
    <w:rsid w:val="00446364"/>
    <w:rsid w:val="004479C8"/>
    <w:rsid w:val="00451407"/>
    <w:rsid w:val="00452277"/>
    <w:rsid w:val="004526E6"/>
    <w:rsid w:val="00452EA0"/>
    <w:rsid w:val="00453D67"/>
    <w:rsid w:val="00455CAD"/>
    <w:rsid w:val="0045655C"/>
    <w:rsid w:val="00457995"/>
    <w:rsid w:val="004610F6"/>
    <w:rsid w:val="00461800"/>
    <w:rsid w:val="00461FB9"/>
    <w:rsid w:val="00465971"/>
    <w:rsid w:val="0046615F"/>
    <w:rsid w:val="00471DEB"/>
    <w:rsid w:val="00472CD7"/>
    <w:rsid w:val="00476CF8"/>
    <w:rsid w:val="00480329"/>
    <w:rsid w:val="00484349"/>
    <w:rsid w:val="004851E1"/>
    <w:rsid w:val="00485447"/>
    <w:rsid w:val="004858FC"/>
    <w:rsid w:val="00486423"/>
    <w:rsid w:val="00486C51"/>
    <w:rsid w:val="00494D05"/>
    <w:rsid w:val="00495246"/>
    <w:rsid w:val="00497485"/>
    <w:rsid w:val="004A02B8"/>
    <w:rsid w:val="004A0466"/>
    <w:rsid w:val="004A176B"/>
    <w:rsid w:val="004A32B7"/>
    <w:rsid w:val="004A4491"/>
    <w:rsid w:val="004A479B"/>
    <w:rsid w:val="004A5B3E"/>
    <w:rsid w:val="004A67AF"/>
    <w:rsid w:val="004B4299"/>
    <w:rsid w:val="004C150A"/>
    <w:rsid w:val="004C182C"/>
    <w:rsid w:val="004C2235"/>
    <w:rsid w:val="004C32D8"/>
    <w:rsid w:val="004C4DC4"/>
    <w:rsid w:val="004C7C01"/>
    <w:rsid w:val="004D2FE2"/>
    <w:rsid w:val="004D4968"/>
    <w:rsid w:val="004D4B12"/>
    <w:rsid w:val="004D5B5E"/>
    <w:rsid w:val="004D673F"/>
    <w:rsid w:val="004D7DA9"/>
    <w:rsid w:val="004E1514"/>
    <w:rsid w:val="004E38A4"/>
    <w:rsid w:val="004E58C7"/>
    <w:rsid w:val="004E7A7D"/>
    <w:rsid w:val="004F046F"/>
    <w:rsid w:val="004F097A"/>
    <w:rsid w:val="004F276F"/>
    <w:rsid w:val="004F29BE"/>
    <w:rsid w:val="004F5CDB"/>
    <w:rsid w:val="004F6FFE"/>
    <w:rsid w:val="004F7F7D"/>
    <w:rsid w:val="00503E11"/>
    <w:rsid w:val="005050EC"/>
    <w:rsid w:val="0050722E"/>
    <w:rsid w:val="00507CC5"/>
    <w:rsid w:val="00513AD5"/>
    <w:rsid w:val="00516C43"/>
    <w:rsid w:val="00520D5E"/>
    <w:rsid w:val="00521A94"/>
    <w:rsid w:val="00524FDC"/>
    <w:rsid w:val="00527472"/>
    <w:rsid w:val="00530896"/>
    <w:rsid w:val="00530FEE"/>
    <w:rsid w:val="005331AE"/>
    <w:rsid w:val="005332AD"/>
    <w:rsid w:val="005338EE"/>
    <w:rsid w:val="00533FFC"/>
    <w:rsid w:val="00537472"/>
    <w:rsid w:val="00537D31"/>
    <w:rsid w:val="00540B3F"/>
    <w:rsid w:val="00543EB4"/>
    <w:rsid w:val="00545372"/>
    <w:rsid w:val="00547533"/>
    <w:rsid w:val="00550F65"/>
    <w:rsid w:val="00554175"/>
    <w:rsid w:val="0055548F"/>
    <w:rsid w:val="00562C06"/>
    <w:rsid w:val="00562DFC"/>
    <w:rsid w:val="00565E95"/>
    <w:rsid w:val="00570E56"/>
    <w:rsid w:val="00574647"/>
    <w:rsid w:val="00574B33"/>
    <w:rsid w:val="00575304"/>
    <w:rsid w:val="00575841"/>
    <w:rsid w:val="0057662D"/>
    <w:rsid w:val="00582FB0"/>
    <w:rsid w:val="00585369"/>
    <w:rsid w:val="00585E86"/>
    <w:rsid w:val="00591E64"/>
    <w:rsid w:val="0059345B"/>
    <w:rsid w:val="00595F9A"/>
    <w:rsid w:val="00597049"/>
    <w:rsid w:val="00597704"/>
    <w:rsid w:val="00597D28"/>
    <w:rsid w:val="005A17FA"/>
    <w:rsid w:val="005A47ED"/>
    <w:rsid w:val="005A611A"/>
    <w:rsid w:val="005A79FE"/>
    <w:rsid w:val="005B1FF5"/>
    <w:rsid w:val="005B27CD"/>
    <w:rsid w:val="005B3585"/>
    <w:rsid w:val="005D17D9"/>
    <w:rsid w:val="005D4C39"/>
    <w:rsid w:val="005E0949"/>
    <w:rsid w:val="005E24EC"/>
    <w:rsid w:val="005E4EDA"/>
    <w:rsid w:val="005E5D68"/>
    <w:rsid w:val="005E6F8C"/>
    <w:rsid w:val="005F3DFE"/>
    <w:rsid w:val="005F5362"/>
    <w:rsid w:val="005F64C6"/>
    <w:rsid w:val="005F7B22"/>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23E"/>
    <w:rsid w:val="006255DB"/>
    <w:rsid w:val="00626E6A"/>
    <w:rsid w:val="00631748"/>
    <w:rsid w:val="006329F3"/>
    <w:rsid w:val="00633B3B"/>
    <w:rsid w:val="00635D0A"/>
    <w:rsid w:val="00637099"/>
    <w:rsid w:val="0064040F"/>
    <w:rsid w:val="0064088E"/>
    <w:rsid w:val="006436CD"/>
    <w:rsid w:val="00644154"/>
    <w:rsid w:val="00644A77"/>
    <w:rsid w:val="00645252"/>
    <w:rsid w:val="006471DB"/>
    <w:rsid w:val="00647BF6"/>
    <w:rsid w:val="00651B0B"/>
    <w:rsid w:val="0065265D"/>
    <w:rsid w:val="00652AD1"/>
    <w:rsid w:val="00652AEB"/>
    <w:rsid w:val="006543F1"/>
    <w:rsid w:val="006606C1"/>
    <w:rsid w:val="00662F4E"/>
    <w:rsid w:val="00663886"/>
    <w:rsid w:val="00663EC1"/>
    <w:rsid w:val="006672D3"/>
    <w:rsid w:val="0067259B"/>
    <w:rsid w:val="006733BA"/>
    <w:rsid w:val="0067756C"/>
    <w:rsid w:val="0068122F"/>
    <w:rsid w:val="0068341C"/>
    <w:rsid w:val="006859FA"/>
    <w:rsid w:val="00686A44"/>
    <w:rsid w:val="0069114D"/>
    <w:rsid w:val="006946C2"/>
    <w:rsid w:val="00694884"/>
    <w:rsid w:val="006A271B"/>
    <w:rsid w:val="006A278B"/>
    <w:rsid w:val="006A5E17"/>
    <w:rsid w:val="006A644B"/>
    <w:rsid w:val="006B0058"/>
    <w:rsid w:val="006B1176"/>
    <w:rsid w:val="006B296C"/>
    <w:rsid w:val="006B2C0F"/>
    <w:rsid w:val="006B3B42"/>
    <w:rsid w:val="006C1A09"/>
    <w:rsid w:val="006C2CE7"/>
    <w:rsid w:val="006C4C13"/>
    <w:rsid w:val="006C4D30"/>
    <w:rsid w:val="006C5E39"/>
    <w:rsid w:val="006C62F4"/>
    <w:rsid w:val="006C77A3"/>
    <w:rsid w:val="006D30B5"/>
    <w:rsid w:val="006D321C"/>
    <w:rsid w:val="006D3D74"/>
    <w:rsid w:val="006D3DF3"/>
    <w:rsid w:val="006D4014"/>
    <w:rsid w:val="006D54FE"/>
    <w:rsid w:val="006D5A33"/>
    <w:rsid w:val="006D6ECC"/>
    <w:rsid w:val="006D760B"/>
    <w:rsid w:val="006D7ECE"/>
    <w:rsid w:val="006E053C"/>
    <w:rsid w:val="006E1AD5"/>
    <w:rsid w:val="006E22FA"/>
    <w:rsid w:val="006E41E9"/>
    <w:rsid w:val="006E44E8"/>
    <w:rsid w:val="006E4E28"/>
    <w:rsid w:val="006F18BF"/>
    <w:rsid w:val="006F2413"/>
    <w:rsid w:val="006F2E51"/>
    <w:rsid w:val="006F36A5"/>
    <w:rsid w:val="006F373F"/>
    <w:rsid w:val="006F7247"/>
    <w:rsid w:val="00702676"/>
    <w:rsid w:val="00703315"/>
    <w:rsid w:val="00703811"/>
    <w:rsid w:val="00703EA3"/>
    <w:rsid w:val="00703FF7"/>
    <w:rsid w:val="007051A3"/>
    <w:rsid w:val="007052BC"/>
    <w:rsid w:val="00705CAE"/>
    <w:rsid w:val="00707677"/>
    <w:rsid w:val="007077FB"/>
    <w:rsid w:val="007105AD"/>
    <w:rsid w:val="00711CEE"/>
    <w:rsid w:val="0071332A"/>
    <w:rsid w:val="007148D7"/>
    <w:rsid w:val="00717482"/>
    <w:rsid w:val="00720D3E"/>
    <w:rsid w:val="007226F0"/>
    <w:rsid w:val="00726669"/>
    <w:rsid w:val="00727B2B"/>
    <w:rsid w:val="0073535C"/>
    <w:rsid w:val="00741985"/>
    <w:rsid w:val="00741B82"/>
    <w:rsid w:val="007422F1"/>
    <w:rsid w:val="00742A9D"/>
    <w:rsid w:val="0074481D"/>
    <w:rsid w:val="007471F2"/>
    <w:rsid w:val="007501B4"/>
    <w:rsid w:val="0075164B"/>
    <w:rsid w:val="00753D09"/>
    <w:rsid w:val="007551C4"/>
    <w:rsid w:val="00756F4A"/>
    <w:rsid w:val="007611D7"/>
    <w:rsid w:val="007637AC"/>
    <w:rsid w:val="007650DB"/>
    <w:rsid w:val="00771EAA"/>
    <w:rsid w:val="0077332A"/>
    <w:rsid w:val="00775538"/>
    <w:rsid w:val="00775800"/>
    <w:rsid w:val="0077740E"/>
    <w:rsid w:val="0078150A"/>
    <w:rsid w:val="00781709"/>
    <w:rsid w:val="00784C85"/>
    <w:rsid w:val="00785FEC"/>
    <w:rsid w:val="0078600F"/>
    <w:rsid w:val="007871B3"/>
    <w:rsid w:val="00787B90"/>
    <w:rsid w:val="00790F5F"/>
    <w:rsid w:val="00791EBE"/>
    <w:rsid w:val="007925D8"/>
    <w:rsid w:val="007927A8"/>
    <w:rsid w:val="0079620F"/>
    <w:rsid w:val="0079642A"/>
    <w:rsid w:val="007A31D7"/>
    <w:rsid w:val="007A45F3"/>
    <w:rsid w:val="007A5C4D"/>
    <w:rsid w:val="007B00FF"/>
    <w:rsid w:val="007B163B"/>
    <w:rsid w:val="007B2B1E"/>
    <w:rsid w:val="007B2DC7"/>
    <w:rsid w:val="007B3625"/>
    <w:rsid w:val="007B3987"/>
    <w:rsid w:val="007B6680"/>
    <w:rsid w:val="007B7460"/>
    <w:rsid w:val="007B76E0"/>
    <w:rsid w:val="007C00B4"/>
    <w:rsid w:val="007C1FF6"/>
    <w:rsid w:val="007C2593"/>
    <w:rsid w:val="007C2977"/>
    <w:rsid w:val="007C3554"/>
    <w:rsid w:val="007C44C6"/>
    <w:rsid w:val="007C48CE"/>
    <w:rsid w:val="007C55B7"/>
    <w:rsid w:val="007C569D"/>
    <w:rsid w:val="007C5D1F"/>
    <w:rsid w:val="007C7612"/>
    <w:rsid w:val="007D2BC8"/>
    <w:rsid w:val="007D3005"/>
    <w:rsid w:val="007D3510"/>
    <w:rsid w:val="007D3E7A"/>
    <w:rsid w:val="007D68DF"/>
    <w:rsid w:val="007D7D68"/>
    <w:rsid w:val="007E0AD5"/>
    <w:rsid w:val="007E105D"/>
    <w:rsid w:val="007E6362"/>
    <w:rsid w:val="007F08ED"/>
    <w:rsid w:val="007F0E24"/>
    <w:rsid w:val="007F13FC"/>
    <w:rsid w:val="007F2CF3"/>
    <w:rsid w:val="007F32E4"/>
    <w:rsid w:val="00800ACE"/>
    <w:rsid w:val="008014D7"/>
    <w:rsid w:val="00801B37"/>
    <w:rsid w:val="00803454"/>
    <w:rsid w:val="008058DD"/>
    <w:rsid w:val="008068B0"/>
    <w:rsid w:val="0081180D"/>
    <w:rsid w:val="0081444F"/>
    <w:rsid w:val="00814FDD"/>
    <w:rsid w:val="008215B1"/>
    <w:rsid w:val="00825DC2"/>
    <w:rsid w:val="00825F31"/>
    <w:rsid w:val="00830023"/>
    <w:rsid w:val="008353BC"/>
    <w:rsid w:val="008378E5"/>
    <w:rsid w:val="008378F7"/>
    <w:rsid w:val="00837CE2"/>
    <w:rsid w:val="00844CC3"/>
    <w:rsid w:val="008452DC"/>
    <w:rsid w:val="008479A8"/>
    <w:rsid w:val="00850FB9"/>
    <w:rsid w:val="00851209"/>
    <w:rsid w:val="00856864"/>
    <w:rsid w:val="00856CDF"/>
    <w:rsid w:val="00856F6D"/>
    <w:rsid w:val="00861941"/>
    <w:rsid w:val="0086197B"/>
    <w:rsid w:val="00864AA4"/>
    <w:rsid w:val="008655AE"/>
    <w:rsid w:val="008707DC"/>
    <w:rsid w:val="00870CCB"/>
    <w:rsid w:val="00871AB2"/>
    <w:rsid w:val="0087329B"/>
    <w:rsid w:val="0087728D"/>
    <w:rsid w:val="00880BC5"/>
    <w:rsid w:val="00880DC2"/>
    <w:rsid w:val="00883F4F"/>
    <w:rsid w:val="00885523"/>
    <w:rsid w:val="008925CB"/>
    <w:rsid w:val="00892BA3"/>
    <w:rsid w:val="00892E07"/>
    <w:rsid w:val="00893E7F"/>
    <w:rsid w:val="00894628"/>
    <w:rsid w:val="00897E5D"/>
    <w:rsid w:val="008A01B2"/>
    <w:rsid w:val="008A062C"/>
    <w:rsid w:val="008A1A71"/>
    <w:rsid w:val="008A1B49"/>
    <w:rsid w:val="008A272D"/>
    <w:rsid w:val="008A2F62"/>
    <w:rsid w:val="008A64B3"/>
    <w:rsid w:val="008B50D5"/>
    <w:rsid w:val="008B565D"/>
    <w:rsid w:val="008B5E57"/>
    <w:rsid w:val="008B723D"/>
    <w:rsid w:val="008B7C99"/>
    <w:rsid w:val="008C1324"/>
    <w:rsid w:val="008C1BF2"/>
    <w:rsid w:val="008C238A"/>
    <w:rsid w:val="008C2514"/>
    <w:rsid w:val="008C256A"/>
    <w:rsid w:val="008C5AFE"/>
    <w:rsid w:val="008D04FE"/>
    <w:rsid w:val="008D081E"/>
    <w:rsid w:val="008D0B60"/>
    <w:rsid w:val="008D1DCB"/>
    <w:rsid w:val="008D2EDD"/>
    <w:rsid w:val="008D3780"/>
    <w:rsid w:val="008D3C3C"/>
    <w:rsid w:val="008D48C5"/>
    <w:rsid w:val="008D4D89"/>
    <w:rsid w:val="008D5DF5"/>
    <w:rsid w:val="008D69AB"/>
    <w:rsid w:val="008D7C9F"/>
    <w:rsid w:val="008E015A"/>
    <w:rsid w:val="008E0C81"/>
    <w:rsid w:val="008E19DD"/>
    <w:rsid w:val="008E1F47"/>
    <w:rsid w:val="008E2790"/>
    <w:rsid w:val="008E40EE"/>
    <w:rsid w:val="008E4183"/>
    <w:rsid w:val="008E435A"/>
    <w:rsid w:val="008E5771"/>
    <w:rsid w:val="008E595A"/>
    <w:rsid w:val="008F1A38"/>
    <w:rsid w:val="008F2D6D"/>
    <w:rsid w:val="008F3C0E"/>
    <w:rsid w:val="008F4578"/>
    <w:rsid w:val="00900C0B"/>
    <w:rsid w:val="009016FC"/>
    <w:rsid w:val="00901BA4"/>
    <w:rsid w:val="00902929"/>
    <w:rsid w:val="00904764"/>
    <w:rsid w:val="009051E3"/>
    <w:rsid w:val="00907728"/>
    <w:rsid w:val="00907E28"/>
    <w:rsid w:val="00911496"/>
    <w:rsid w:val="00920D06"/>
    <w:rsid w:val="00921068"/>
    <w:rsid w:val="00921E0D"/>
    <w:rsid w:val="00922E88"/>
    <w:rsid w:val="009239A0"/>
    <w:rsid w:val="009265CA"/>
    <w:rsid w:val="00935EF9"/>
    <w:rsid w:val="009361C9"/>
    <w:rsid w:val="0093630A"/>
    <w:rsid w:val="0093741E"/>
    <w:rsid w:val="00942365"/>
    <w:rsid w:val="00943578"/>
    <w:rsid w:val="00945444"/>
    <w:rsid w:val="0094638D"/>
    <w:rsid w:val="00947108"/>
    <w:rsid w:val="009517DE"/>
    <w:rsid w:val="0095230F"/>
    <w:rsid w:val="00955CAD"/>
    <w:rsid w:val="00955EA3"/>
    <w:rsid w:val="0095673D"/>
    <w:rsid w:val="009607A0"/>
    <w:rsid w:val="0096214C"/>
    <w:rsid w:val="00965A78"/>
    <w:rsid w:val="00965AB3"/>
    <w:rsid w:val="00965FBD"/>
    <w:rsid w:val="00966D49"/>
    <w:rsid w:val="009719B5"/>
    <w:rsid w:val="0097268F"/>
    <w:rsid w:val="00972FA0"/>
    <w:rsid w:val="00975C9B"/>
    <w:rsid w:val="00976957"/>
    <w:rsid w:val="009771BB"/>
    <w:rsid w:val="00977A62"/>
    <w:rsid w:val="0098081D"/>
    <w:rsid w:val="0098096B"/>
    <w:rsid w:val="00983BB2"/>
    <w:rsid w:val="0098429C"/>
    <w:rsid w:val="00984525"/>
    <w:rsid w:val="00984EAE"/>
    <w:rsid w:val="0098560D"/>
    <w:rsid w:val="00985ECC"/>
    <w:rsid w:val="009871CB"/>
    <w:rsid w:val="00990930"/>
    <w:rsid w:val="0099129C"/>
    <w:rsid w:val="00991658"/>
    <w:rsid w:val="009917CB"/>
    <w:rsid w:val="00992550"/>
    <w:rsid w:val="00994515"/>
    <w:rsid w:val="00996011"/>
    <w:rsid w:val="009A2553"/>
    <w:rsid w:val="009A4166"/>
    <w:rsid w:val="009A70BB"/>
    <w:rsid w:val="009B1586"/>
    <w:rsid w:val="009B1FA9"/>
    <w:rsid w:val="009B2028"/>
    <w:rsid w:val="009B26F5"/>
    <w:rsid w:val="009B4C09"/>
    <w:rsid w:val="009C1BE6"/>
    <w:rsid w:val="009C3735"/>
    <w:rsid w:val="009C50AD"/>
    <w:rsid w:val="009C5977"/>
    <w:rsid w:val="009C6AE4"/>
    <w:rsid w:val="009D1761"/>
    <w:rsid w:val="009D21C2"/>
    <w:rsid w:val="009D380A"/>
    <w:rsid w:val="009D4032"/>
    <w:rsid w:val="009D6A6D"/>
    <w:rsid w:val="009D6AC0"/>
    <w:rsid w:val="009D70AB"/>
    <w:rsid w:val="009D738C"/>
    <w:rsid w:val="009E0DC3"/>
    <w:rsid w:val="009E3A37"/>
    <w:rsid w:val="009E7896"/>
    <w:rsid w:val="009F369E"/>
    <w:rsid w:val="009F6122"/>
    <w:rsid w:val="009F6148"/>
    <w:rsid w:val="00A0138E"/>
    <w:rsid w:val="00A0256F"/>
    <w:rsid w:val="00A0444A"/>
    <w:rsid w:val="00A048B8"/>
    <w:rsid w:val="00A04CE0"/>
    <w:rsid w:val="00A05411"/>
    <w:rsid w:val="00A070CB"/>
    <w:rsid w:val="00A1015C"/>
    <w:rsid w:val="00A1084B"/>
    <w:rsid w:val="00A143FE"/>
    <w:rsid w:val="00A14C97"/>
    <w:rsid w:val="00A15271"/>
    <w:rsid w:val="00A16927"/>
    <w:rsid w:val="00A2027F"/>
    <w:rsid w:val="00A240A9"/>
    <w:rsid w:val="00A24B7D"/>
    <w:rsid w:val="00A316AE"/>
    <w:rsid w:val="00A31C80"/>
    <w:rsid w:val="00A31F10"/>
    <w:rsid w:val="00A342EE"/>
    <w:rsid w:val="00A37E12"/>
    <w:rsid w:val="00A40DEC"/>
    <w:rsid w:val="00A42726"/>
    <w:rsid w:val="00A4291C"/>
    <w:rsid w:val="00A43325"/>
    <w:rsid w:val="00A4347D"/>
    <w:rsid w:val="00A45B49"/>
    <w:rsid w:val="00A46F20"/>
    <w:rsid w:val="00A50ED2"/>
    <w:rsid w:val="00A5213A"/>
    <w:rsid w:val="00A52D68"/>
    <w:rsid w:val="00A55865"/>
    <w:rsid w:val="00A573E4"/>
    <w:rsid w:val="00A61EBB"/>
    <w:rsid w:val="00A62513"/>
    <w:rsid w:val="00A62B80"/>
    <w:rsid w:val="00A6434B"/>
    <w:rsid w:val="00A652ED"/>
    <w:rsid w:val="00A654B7"/>
    <w:rsid w:val="00A67620"/>
    <w:rsid w:val="00A70656"/>
    <w:rsid w:val="00A71212"/>
    <w:rsid w:val="00A71631"/>
    <w:rsid w:val="00A730D8"/>
    <w:rsid w:val="00A763CC"/>
    <w:rsid w:val="00A76CD6"/>
    <w:rsid w:val="00A77141"/>
    <w:rsid w:val="00A83CE1"/>
    <w:rsid w:val="00A84274"/>
    <w:rsid w:val="00A9055F"/>
    <w:rsid w:val="00A9084F"/>
    <w:rsid w:val="00A9204E"/>
    <w:rsid w:val="00A932FE"/>
    <w:rsid w:val="00A9690D"/>
    <w:rsid w:val="00AA36BC"/>
    <w:rsid w:val="00AA471C"/>
    <w:rsid w:val="00AA6472"/>
    <w:rsid w:val="00AA732D"/>
    <w:rsid w:val="00AA73A4"/>
    <w:rsid w:val="00AB05F2"/>
    <w:rsid w:val="00AC3265"/>
    <w:rsid w:val="00AC516B"/>
    <w:rsid w:val="00AC5848"/>
    <w:rsid w:val="00AC5D18"/>
    <w:rsid w:val="00AC6F1A"/>
    <w:rsid w:val="00AD09F9"/>
    <w:rsid w:val="00AD0FEF"/>
    <w:rsid w:val="00AD4D21"/>
    <w:rsid w:val="00AE0802"/>
    <w:rsid w:val="00AE2493"/>
    <w:rsid w:val="00AE27D8"/>
    <w:rsid w:val="00AE381C"/>
    <w:rsid w:val="00AE7A2C"/>
    <w:rsid w:val="00AF51EA"/>
    <w:rsid w:val="00B017C6"/>
    <w:rsid w:val="00B01A03"/>
    <w:rsid w:val="00B04111"/>
    <w:rsid w:val="00B049D9"/>
    <w:rsid w:val="00B128B4"/>
    <w:rsid w:val="00B152F3"/>
    <w:rsid w:val="00B15AFA"/>
    <w:rsid w:val="00B17059"/>
    <w:rsid w:val="00B200A0"/>
    <w:rsid w:val="00B23389"/>
    <w:rsid w:val="00B24A5C"/>
    <w:rsid w:val="00B275E4"/>
    <w:rsid w:val="00B27A82"/>
    <w:rsid w:val="00B30188"/>
    <w:rsid w:val="00B30A04"/>
    <w:rsid w:val="00B30FA2"/>
    <w:rsid w:val="00B32E08"/>
    <w:rsid w:val="00B34288"/>
    <w:rsid w:val="00B35C37"/>
    <w:rsid w:val="00B35C70"/>
    <w:rsid w:val="00B361AC"/>
    <w:rsid w:val="00B379AB"/>
    <w:rsid w:val="00B421DB"/>
    <w:rsid w:val="00B42784"/>
    <w:rsid w:val="00B42B06"/>
    <w:rsid w:val="00B4327E"/>
    <w:rsid w:val="00B47B4A"/>
    <w:rsid w:val="00B47C12"/>
    <w:rsid w:val="00B5285C"/>
    <w:rsid w:val="00B54613"/>
    <w:rsid w:val="00B575A3"/>
    <w:rsid w:val="00B57642"/>
    <w:rsid w:val="00B61D97"/>
    <w:rsid w:val="00B62202"/>
    <w:rsid w:val="00B63554"/>
    <w:rsid w:val="00B65518"/>
    <w:rsid w:val="00B6692F"/>
    <w:rsid w:val="00B67CDF"/>
    <w:rsid w:val="00B709B4"/>
    <w:rsid w:val="00B7229A"/>
    <w:rsid w:val="00B72AC1"/>
    <w:rsid w:val="00B7373F"/>
    <w:rsid w:val="00B73EBC"/>
    <w:rsid w:val="00B754AB"/>
    <w:rsid w:val="00B75A71"/>
    <w:rsid w:val="00B76875"/>
    <w:rsid w:val="00B851A3"/>
    <w:rsid w:val="00B858CD"/>
    <w:rsid w:val="00B85C81"/>
    <w:rsid w:val="00B85EB6"/>
    <w:rsid w:val="00B869EB"/>
    <w:rsid w:val="00B876F2"/>
    <w:rsid w:val="00B91029"/>
    <w:rsid w:val="00B936F6"/>
    <w:rsid w:val="00B9523A"/>
    <w:rsid w:val="00B97A82"/>
    <w:rsid w:val="00BA09DC"/>
    <w:rsid w:val="00BA241D"/>
    <w:rsid w:val="00BA2DCF"/>
    <w:rsid w:val="00BA2DD0"/>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C7CBE"/>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06E04"/>
    <w:rsid w:val="00C07318"/>
    <w:rsid w:val="00C103D5"/>
    <w:rsid w:val="00C13F31"/>
    <w:rsid w:val="00C170C6"/>
    <w:rsid w:val="00C200E2"/>
    <w:rsid w:val="00C20129"/>
    <w:rsid w:val="00C23A80"/>
    <w:rsid w:val="00C24107"/>
    <w:rsid w:val="00C26459"/>
    <w:rsid w:val="00C264A0"/>
    <w:rsid w:val="00C26B9D"/>
    <w:rsid w:val="00C313A6"/>
    <w:rsid w:val="00C316FF"/>
    <w:rsid w:val="00C31B16"/>
    <w:rsid w:val="00C33272"/>
    <w:rsid w:val="00C35117"/>
    <w:rsid w:val="00C360A5"/>
    <w:rsid w:val="00C3718C"/>
    <w:rsid w:val="00C374FE"/>
    <w:rsid w:val="00C37A7D"/>
    <w:rsid w:val="00C41634"/>
    <w:rsid w:val="00C42C32"/>
    <w:rsid w:val="00C44D14"/>
    <w:rsid w:val="00C44F77"/>
    <w:rsid w:val="00C460B0"/>
    <w:rsid w:val="00C4720A"/>
    <w:rsid w:val="00C50021"/>
    <w:rsid w:val="00C520FC"/>
    <w:rsid w:val="00C555E0"/>
    <w:rsid w:val="00C61BCC"/>
    <w:rsid w:val="00C61DBF"/>
    <w:rsid w:val="00C64C51"/>
    <w:rsid w:val="00C64D12"/>
    <w:rsid w:val="00C64E84"/>
    <w:rsid w:val="00C65ED9"/>
    <w:rsid w:val="00C71928"/>
    <w:rsid w:val="00C7492F"/>
    <w:rsid w:val="00C76817"/>
    <w:rsid w:val="00C77225"/>
    <w:rsid w:val="00C77917"/>
    <w:rsid w:val="00C82090"/>
    <w:rsid w:val="00C8214A"/>
    <w:rsid w:val="00C87856"/>
    <w:rsid w:val="00C92839"/>
    <w:rsid w:val="00C92CBB"/>
    <w:rsid w:val="00C940B6"/>
    <w:rsid w:val="00C95685"/>
    <w:rsid w:val="00C96BF4"/>
    <w:rsid w:val="00C96EE4"/>
    <w:rsid w:val="00C97A16"/>
    <w:rsid w:val="00CA1B69"/>
    <w:rsid w:val="00CA399F"/>
    <w:rsid w:val="00CA5EC0"/>
    <w:rsid w:val="00CA698B"/>
    <w:rsid w:val="00CA6B6C"/>
    <w:rsid w:val="00CA71E2"/>
    <w:rsid w:val="00CA762D"/>
    <w:rsid w:val="00CB1BA1"/>
    <w:rsid w:val="00CB38E6"/>
    <w:rsid w:val="00CC054B"/>
    <w:rsid w:val="00CC3556"/>
    <w:rsid w:val="00CC4F0A"/>
    <w:rsid w:val="00CC5D48"/>
    <w:rsid w:val="00CC67B3"/>
    <w:rsid w:val="00CC6C7B"/>
    <w:rsid w:val="00CC78A4"/>
    <w:rsid w:val="00CD0867"/>
    <w:rsid w:val="00CD186E"/>
    <w:rsid w:val="00CD1A25"/>
    <w:rsid w:val="00CD6A8D"/>
    <w:rsid w:val="00CD750A"/>
    <w:rsid w:val="00CE1C03"/>
    <w:rsid w:val="00CE79A0"/>
    <w:rsid w:val="00CF3394"/>
    <w:rsid w:val="00CF3FC2"/>
    <w:rsid w:val="00CF5C15"/>
    <w:rsid w:val="00D0027D"/>
    <w:rsid w:val="00D00B19"/>
    <w:rsid w:val="00D022E3"/>
    <w:rsid w:val="00D03470"/>
    <w:rsid w:val="00D06A44"/>
    <w:rsid w:val="00D07AC6"/>
    <w:rsid w:val="00D103CA"/>
    <w:rsid w:val="00D10DE3"/>
    <w:rsid w:val="00D1241F"/>
    <w:rsid w:val="00D13B4E"/>
    <w:rsid w:val="00D16E7A"/>
    <w:rsid w:val="00D21B39"/>
    <w:rsid w:val="00D221CA"/>
    <w:rsid w:val="00D22DB4"/>
    <w:rsid w:val="00D23772"/>
    <w:rsid w:val="00D26C40"/>
    <w:rsid w:val="00D3230B"/>
    <w:rsid w:val="00D334F7"/>
    <w:rsid w:val="00D347B1"/>
    <w:rsid w:val="00D35610"/>
    <w:rsid w:val="00D36835"/>
    <w:rsid w:val="00D405A1"/>
    <w:rsid w:val="00D424B2"/>
    <w:rsid w:val="00D45886"/>
    <w:rsid w:val="00D460A7"/>
    <w:rsid w:val="00D50771"/>
    <w:rsid w:val="00D51D5A"/>
    <w:rsid w:val="00D607F1"/>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1B70"/>
    <w:rsid w:val="00D83A20"/>
    <w:rsid w:val="00D83F02"/>
    <w:rsid w:val="00D85C4E"/>
    <w:rsid w:val="00D87509"/>
    <w:rsid w:val="00D907D3"/>
    <w:rsid w:val="00D93A86"/>
    <w:rsid w:val="00D93AA5"/>
    <w:rsid w:val="00D9444B"/>
    <w:rsid w:val="00D94B96"/>
    <w:rsid w:val="00D95A24"/>
    <w:rsid w:val="00DA09F9"/>
    <w:rsid w:val="00DA0BE2"/>
    <w:rsid w:val="00DA1A3D"/>
    <w:rsid w:val="00DA2920"/>
    <w:rsid w:val="00DA2A63"/>
    <w:rsid w:val="00DA2FF6"/>
    <w:rsid w:val="00DA4514"/>
    <w:rsid w:val="00DA56BE"/>
    <w:rsid w:val="00DA7207"/>
    <w:rsid w:val="00DB168A"/>
    <w:rsid w:val="00DB2016"/>
    <w:rsid w:val="00DB2085"/>
    <w:rsid w:val="00DB305E"/>
    <w:rsid w:val="00DB486F"/>
    <w:rsid w:val="00DB5E5E"/>
    <w:rsid w:val="00DB657C"/>
    <w:rsid w:val="00DB6C4A"/>
    <w:rsid w:val="00DC2731"/>
    <w:rsid w:val="00DC7E06"/>
    <w:rsid w:val="00DD34C6"/>
    <w:rsid w:val="00DD3ECD"/>
    <w:rsid w:val="00DD43DA"/>
    <w:rsid w:val="00DD49AC"/>
    <w:rsid w:val="00DD4DE2"/>
    <w:rsid w:val="00DD58A7"/>
    <w:rsid w:val="00DD63D7"/>
    <w:rsid w:val="00DD6A1B"/>
    <w:rsid w:val="00DE0D50"/>
    <w:rsid w:val="00DE1505"/>
    <w:rsid w:val="00DE28BC"/>
    <w:rsid w:val="00DE3904"/>
    <w:rsid w:val="00DE4565"/>
    <w:rsid w:val="00DE5798"/>
    <w:rsid w:val="00DE7861"/>
    <w:rsid w:val="00DF073A"/>
    <w:rsid w:val="00DF0C7C"/>
    <w:rsid w:val="00DF0E82"/>
    <w:rsid w:val="00DF1D86"/>
    <w:rsid w:val="00DF2FDA"/>
    <w:rsid w:val="00DF4E88"/>
    <w:rsid w:val="00DF4ED7"/>
    <w:rsid w:val="00DF6212"/>
    <w:rsid w:val="00DF6D3F"/>
    <w:rsid w:val="00DF7AE9"/>
    <w:rsid w:val="00E04341"/>
    <w:rsid w:val="00E05FD2"/>
    <w:rsid w:val="00E060A2"/>
    <w:rsid w:val="00E071FF"/>
    <w:rsid w:val="00E07646"/>
    <w:rsid w:val="00E07A31"/>
    <w:rsid w:val="00E1025E"/>
    <w:rsid w:val="00E103D0"/>
    <w:rsid w:val="00E13770"/>
    <w:rsid w:val="00E13BC5"/>
    <w:rsid w:val="00E17C50"/>
    <w:rsid w:val="00E20137"/>
    <w:rsid w:val="00E207C2"/>
    <w:rsid w:val="00E20DBE"/>
    <w:rsid w:val="00E23D2C"/>
    <w:rsid w:val="00E2478A"/>
    <w:rsid w:val="00E24E7D"/>
    <w:rsid w:val="00E25646"/>
    <w:rsid w:val="00E27FFC"/>
    <w:rsid w:val="00E305EF"/>
    <w:rsid w:val="00E30793"/>
    <w:rsid w:val="00E33C32"/>
    <w:rsid w:val="00E4214E"/>
    <w:rsid w:val="00E431F4"/>
    <w:rsid w:val="00E45D08"/>
    <w:rsid w:val="00E46C66"/>
    <w:rsid w:val="00E47374"/>
    <w:rsid w:val="00E500DF"/>
    <w:rsid w:val="00E511EC"/>
    <w:rsid w:val="00E514C5"/>
    <w:rsid w:val="00E51CE0"/>
    <w:rsid w:val="00E52448"/>
    <w:rsid w:val="00E54929"/>
    <w:rsid w:val="00E55F40"/>
    <w:rsid w:val="00E56020"/>
    <w:rsid w:val="00E5696B"/>
    <w:rsid w:val="00E61B3F"/>
    <w:rsid w:val="00E666B7"/>
    <w:rsid w:val="00E66844"/>
    <w:rsid w:val="00E66D22"/>
    <w:rsid w:val="00E70589"/>
    <w:rsid w:val="00E71EE9"/>
    <w:rsid w:val="00E724F9"/>
    <w:rsid w:val="00E73653"/>
    <w:rsid w:val="00E74293"/>
    <w:rsid w:val="00E81321"/>
    <w:rsid w:val="00E8202C"/>
    <w:rsid w:val="00E84B0F"/>
    <w:rsid w:val="00E85A25"/>
    <w:rsid w:val="00E91730"/>
    <w:rsid w:val="00E92375"/>
    <w:rsid w:val="00EA040F"/>
    <w:rsid w:val="00EA0D2B"/>
    <w:rsid w:val="00EA48A5"/>
    <w:rsid w:val="00EA5657"/>
    <w:rsid w:val="00EA6403"/>
    <w:rsid w:val="00EA6A48"/>
    <w:rsid w:val="00EB0087"/>
    <w:rsid w:val="00EB05AE"/>
    <w:rsid w:val="00EB1718"/>
    <w:rsid w:val="00EB4AF8"/>
    <w:rsid w:val="00EB56B2"/>
    <w:rsid w:val="00EB6669"/>
    <w:rsid w:val="00EC0AA9"/>
    <w:rsid w:val="00EC4E32"/>
    <w:rsid w:val="00EC52D8"/>
    <w:rsid w:val="00EC677F"/>
    <w:rsid w:val="00EC6969"/>
    <w:rsid w:val="00ED072B"/>
    <w:rsid w:val="00ED12A6"/>
    <w:rsid w:val="00ED18F9"/>
    <w:rsid w:val="00ED2B68"/>
    <w:rsid w:val="00ED3F82"/>
    <w:rsid w:val="00ED4D16"/>
    <w:rsid w:val="00ED4EF3"/>
    <w:rsid w:val="00ED65EA"/>
    <w:rsid w:val="00ED67ED"/>
    <w:rsid w:val="00ED7289"/>
    <w:rsid w:val="00ED77C8"/>
    <w:rsid w:val="00EE301E"/>
    <w:rsid w:val="00EE3F91"/>
    <w:rsid w:val="00EE434D"/>
    <w:rsid w:val="00EE44AE"/>
    <w:rsid w:val="00EF0023"/>
    <w:rsid w:val="00EF2C9B"/>
    <w:rsid w:val="00F02314"/>
    <w:rsid w:val="00F043B3"/>
    <w:rsid w:val="00F04F6D"/>
    <w:rsid w:val="00F0548B"/>
    <w:rsid w:val="00F07506"/>
    <w:rsid w:val="00F07E77"/>
    <w:rsid w:val="00F11A04"/>
    <w:rsid w:val="00F128F2"/>
    <w:rsid w:val="00F15430"/>
    <w:rsid w:val="00F159EA"/>
    <w:rsid w:val="00F15F48"/>
    <w:rsid w:val="00F1607C"/>
    <w:rsid w:val="00F162A8"/>
    <w:rsid w:val="00F16E3D"/>
    <w:rsid w:val="00F20308"/>
    <w:rsid w:val="00F2369E"/>
    <w:rsid w:val="00F240E3"/>
    <w:rsid w:val="00F24E79"/>
    <w:rsid w:val="00F254C8"/>
    <w:rsid w:val="00F26FC0"/>
    <w:rsid w:val="00F271A0"/>
    <w:rsid w:val="00F27246"/>
    <w:rsid w:val="00F30D8E"/>
    <w:rsid w:val="00F341E3"/>
    <w:rsid w:val="00F3498A"/>
    <w:rsid w:val="00F34ADB"/>
    <w:rsid w:val="00F3521F"/>
    <w:rsid w:val="00F35C57"/>
    <w:rsid w:val="00F371A2"/>
    <w:rsid w:val="00F37288"/>
    <w:rsid w:val="00F40F07"/>
    <w:rsid w:val="00F42E2A"/>
    <w:rsid w:val="00F44394"/>
    <w:rsid w:val="00F44464"/>
    <w:rsid w:val="00F47AC8"/>
    <w:rsid w:val="00F5014C"/>
    <w:rsid w:val="00F55C49"/>
    <w:rsid w:val="00F5658D"/>
    <w:rsid w:val="00F612CD"/>
    <w:rsid w:val="00F626C9"/>
    <w:rsid w:val="00F62E7C"/>
    <w:rsid w:val="00F63C9A"/>
    <w:rsid w:val="00F64D5D"/>
    <w:rsid w:val="00F652BF"/>
    <w:rsid w:val="00F65C79"/>
    <w:rsid w:val="00F71436"/>
    <w:rsid w:val="00F77502"/>
    <w:rsid w:val="00F806AC"/>
    <w:rsid w:val="00F813AD"/>
    <w:rsid w:val="00F82460"/>
    <w:rsid w:val="00F8371F"/>
    <w:rsid w:val="00F84530"/>
    <w:rsid w:val="00F878C8"/>
    <w:rsid w:val="00F87F0E"/>
    <w:rsid w:val="00F91077"/>
    <w:rsid w:val="00F91578"/>
    <w:rsid w:val="00F92503"/>
    <w:rsid w:val="00F92958"/>
    <w:rsid w:val="00F9296B"/>
    <w:rsid w:val="00F95D36"/>
    <w:rsid w:val="00F9633C"/>
    <w:rsid w:val="00FA10F8"/>
    <w:rsid w:val="00FA12F1"/>
    <w:rsid w:val="00FA2613"/>
    <w:rsid w:val="00FA43CC"/>
    <w:rsid w:val="00FA502A"/>
    <w:rsid w:val="00FB0C1E"/>
    <w:rsid w:val="00FB0C6D"/>
    <w:rsid w:val="00FB2BFF"/>
    <w:rsid w:val="00FB2EC8"/>
    <w:rsid w:val="00FB3329"/>
    <w:rsid w:val="00FB3ABF"/>
    <w:rsid w:val="00FB619B"/>
    <w:rsid w:val="00FB67E3"/>
    <w:rsid w:val="00FC0EC4"/>
    <w:rsid w:val="00FC1A6B"/>
    <w:rsid w:val="00FC28BA"/>
    <w:rsid w:val="00FC72B8"/>
    <w:rsid w:val="00FC7C00"/>
    <w:rsid w:val="00FD1E83"/>
    <w:rsid w:val="00FD283C"/>
    <w:rsid w:val="00FD4582"/>
    <w:rsid w:val="00FD486B"/>
    <w:rsid w:val="00FD4CCD"/>
    <w:rsid w:val="00FD5E8F"/>
    <w:rsid w:val="00FD6488"/>
    <w:rsid w:val="00FD73A2"/>
    <w:rsid w:val="00FE07DA"/>
    <w:rsid w:val="00FE4DAD"/>
    <w:rsid w:val="00FE5780"/>
    <w:rsid w:val="00FE5D6F"/>
    <w:rsid w:val="00FE6CB1"/>
    <w:rsid w:val="00FE78FF"/>
    <w:rsid w:val="00FF2B8B"/>
    <w:rsid w:val="00FF473E"/>
    <w:rsid w:val="00FF4E1C"/>
    <w:rsid w:val="00FF7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27C362"/>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2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lang w:val="en-GB"/>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outlineLvl w:val="3"/>
    </w:pPr>
    <w:rPr>
      <w:rFonts w:asciiTheme="majorHAnsi" w:eastAsiaTheme="majorEastAsia" w:hAnsiTheme="majorHAnsi" w:cstheme="majorHAnsi"/>
      <w:iCs/>
      <w:color w:val="42555F" w:themeColor="accent3" w:themeShade="80"/>
      <w:sz w:val="20"/>
      <w:szCs w:val="20"/>
      <w:lang w:val="en-GB"/>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sz w:val="20"/>
      <w:szCs w:val="20"/>
      <w:lang w:val="en-GB"/>
    </w:rPr>
  </w:style>
  <w:style w:type="paragraph" w:styleId="Heading6">
    <w:name w:val="heading 6"/>
    <w:basedOn w:val="Normal"/>
    <w:next w:val="Normal"/>
    <w:link w:val="Heading6Char"/>
    <w:uiPriority w:val="9"/>
    <w:unhideWhenUsed/>
    <w:qFormat/>
    <w:rsid w:val="00C20129"/>
    <w:pPr>
      <w:spacing w:before="240" w:after="20"/>
      <w:outlineLvl w:val="5"/>
    </w:pPr>
    <w:rPr>
      <w:rFonts w:asciiTheme="minorHAnsi" w:eastAsiaTheme="minorEastAsia" w:hAnsiTheme="minorHAnsi" w:cstheme="minorHAnsi"/>
      <w:color w:val="7962CE" w:themeColor="accent1"/>
      <w:sz w:val="20"/>
      <w:szCs w:val="20"/>
      <w:lang w:val="en-GB"/>
    </w:rPr>
  </w:style>
  <w:style w:type="paragraph" w:styleId="Heading7">
    <w:name w:val="heading 7"/>
    <w:basedOn w:val="Normal"/>
    <w:next w:val="Normal"/>
    <w:link w:val="Heading7Char"/>
    <w:uiPriority w:val="9"/>
    <w:unhideWhenUsed/>
    <w:rsid w:val="006D3D74"/>
    <w:pPr>
      <w:keepNext/>
      <w:keepLines/>
      <w:spacing w:before="40" w:after="120"/>
      <w:outlineLvl w:val="6"/>
    </w:pPr>
    <w:rPr>
      <w:rFonts w:asciiTheme="majorHAnsi" w:eastAsiaTheme="majorEastAsia" w:hAnsiTheme="majorHAnsi" w:cstheme="majorBidi"/>
      <w:i/>
      <w:iCs/>
      <w:color w:val="342473" w:themeColor="accent1" w:themeShade="7F"/>
      <w:sz w:val="20"/>
      <w:szCs w:val="20"/>
      <w:lang w:val="en-GB"/>
    </w:rPr>
  </w:style>
  <w:style w:type="paragraph" w:styleId="Heading8">
    <w:name w:val="heading 8"/>
    <w:basedOn w:val="Normal"/>
    <w:next w:val="Normal"/>
    <w:link w:val="Heading8Char"/>
    <w:uiPriority w:val="9"/>
    <w:unhideWhenUsed/>
    <w:rsid w:val="007A45F3"/>
    <w:pPr>
      <w:keepNext/>
      <w:keepLines/>
      <w:spacing w:before="40" w:after="120"/>
      <w:outlineLvl w:val="7"/>
    </w:pPr>
    <w:rPr>
      <w:rFonts w:asciiTheme="majorHAnsi" w:eastAsiaTheme="majorEastAsia" w:hAnsiTheme="majorHAnsi" w:cstheme="majorBidi"/>
      <w:color w:val="4F36AD" w:themeColor="accent1" w:themeShade="BF"/>
      <w:sz w:val="20"/>
      <w:szCs w:val="21"/>
      <w:lang w:val="en-GB"/>
    </w:rPr>
  </w:style>
  <w:style w:type="paragraph" w:styleId="Heading9">
    <w:name w:val="heading 9"/>
    <w:basedOn w:val="Normal"/>
    <w:next w:val="Normal"/>
    <w:link w:val="Heading9Char"/>
    <w:uiPriority w:val="9"/>
    <w:unhideWhenUsed/>
    <w:rsid w:val="007A45F3"/>
    <w:pPr>
      <w:keepNext/>
      <w:keepLines/>
      <w:spacing w:before="40" w:after="120"/>
      <w:outlineLvl w:val="8"/>
    </w:pPr>
    <w:rPr>
      <w:rFonts w:asciiTheme="majorHAnsi" w:eastAsiaTheme="majorEastAsia" w:hAnsiTheme="majorHAnsi" w:cstheme="majorBidi"/>
      <w:i/>
      <w:iCs/>
      <w:color w:val="4F36AD" w:themeColor="accent1" w:themeShade="BF"/>
      <w:sz w:val="2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contextualSpacing/>
    </w:pPr>
    <w:rPr>
      <w:rFonts w:asciiTheme="majorHAnsi" w:eastAsiaTheme="majorEastAsia" w:hAnsiTheme="majorHAnsi" w:cstheme="majorBidi"/>
      <w:color w:val="001432" w:themeColor="text1"/>
      <w:spacing w:val="-10"/>
      <w:kern w:val="28"/>
      <w:sz w:val="72"/>
      <w:szCs w:val="56"/>
      <w:lang w:val="en-GB"/>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ind w:left="864" w:right="864"/>
      <w:jc w:val="center"/>
    </w:pPr>
    <w:rPr>
      <w:rFonts w:asciiTheme="minorHAnsi" w:eastAsiaTheme="minorEastAsia" w:hAnsiTheme="minorHAnsi" w:cstheme="minorBidi"/>
      <w:i/>
      <w:iCs/>
      <w:color w:val="0042A5" w:themeColor="text1" w:themeTint="BF"/>
      <w:sz w:val="20"/>
      <w:szCs w:val="20"/>
      <w:lang w:val="en-GB"/>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rFonts w:asciiTheme="minorHAnsi" w:eastAsiaTheme="minorEastAsia" w:hAnsiTheme="minorHAnsi" w:cstheme="minorBidi"/>
      <w:i/>
      <w:iCs/>
      <w:color w:val="352474" w:themeColor="accent1" w:themeShade="80"/>
      <w:sz w:val="20"/>
      <w:szCs w:val="20"/>
      <w:lang w:val="en-GB"/>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pPr>
    <w:rPr>
      <w:rFonts w:ascii="Segoe UI" w:eastAsiaTheme="minorEastAsia" w:hAnsi="Segoe UI" w:cs="Segoe UI"/>
      <w:sz w:val="20"/>
      <w:szCs w:val="18"/>
      <w:lang w:val="en-GB"/>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ind w:left="1152" w:right="1152"/>
    </w:pPr>
    <w:rPr>
      <w:rFonts w:asciiTheme="minorHAnsi" w:eastAsiaTheme="minorEastAsia" w:hAnsiTheme="minorHAnsi" w:cstheme="minorBidi"/>
      <w:i/>
      <w:iCs/>
      <w:color w:val="352474" w:themeColor="accent1" w:themeShade="80"/>
      <w:sz w:val="20"/>
      <w:szCs w:val="20"/>
      <w:lang w:val="en-GB"/>
    </w:rPr>
  </w:style>
  <w:style w:type="paragraph" w:styleId="BodyText3">
    <w:name w:val="Body Text 3"/>
    <w:basedOn w:val="Normal"/>
    <w:link w:val="BodyText3Char"/>
    <w:uiPriority w:val="99"/>
    <w:semiHidden/>
    <w:unhideWhenUsed/>
    <w:rsid w:val="00645252"/>
    <w:pPr>
      <w:spacing w:after="120"/>
    </w:pPr>
    <w:rPr>
      <w:rFonts w:asciiTheme="minorHAnsi" w:eastAsiaTheme="minorEastAsia" w:hAnsiTheme="minorHAnsi" w:cstheme="minorBidi"/>
      <w:sz w:val="20"/>
      <w:szCs w:val="16"/>
      <w:lang w:val="en-GB"/>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EastAsia" w:hAnsiTheme="minorHAnsi" w:cstheme="minorBidi"/>
      <w:sz w:val="20"/>
      <w:szCs w:val="16"/>
      <w:lang w:val="en-GB"/>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pPr>
    <w:rPr>
      <w:rFonts w:ascii="Segoe UI" w:eastAsiaTheme="minorEastAsia" w:hAnsi="Segoe UI" w:cs="Segoe UI"/>
      <w:sz w:val="20"/>
      <w:szCs w:val="16"/>
      <w:lang w:val="en-GB"/>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pPr>
    <w:rPr>
      <w:rFonts w:asciiTheme="majorHAnsi" w:eastAsiaTheme="majorEastAsia" w:hAnsiTheme="majorHAnsi" w:cstheme="majorBidi"/>
      <w:sz w:val="20"/>
      <w:szCs w:val="20"/>
      <w:lang w:val="en-GB"/>
    </w:rPr>
  </w:style>
  <w:style w:type="paragraph" w:styleId="FootnoteText">
    <w:name w:val="footnote text"/>
    <w:basedOn w:val="Normal"/>
    <w:link w:val="Foot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pPr>
    <w:rPr>
      <w:rFonts w:ascii="Consolas" w:eastAsiaTheme="minorEastAsia"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pPr>
    <w:rPr>
      <w:rFonts w:ascii="Consolas" w:eastAsiaTheme="minorEastAsia" w:hAnsi="Consolas" w:cstheme="minorBidi"/>
      <w:sz w:val="20"/>
      <w:szCs w:val="21"/>
      <w:lang w:val="en-GB"/>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rPr>
      <w:rFonts w:asciiTheme="minorHAnsi" w:eastAsiaTheme="minorEastAsia" w:hAnsiTheme="minorHAnsi" w:cstheme="minorBidi"/>
      <w:sz w:val="20"/>
      <w:szCs w:val="20"/>
      <w:lang w:val="en-GB"/>
    </w:rPr>
  </w:style>
  <w:style w:type="paragraph" w:customStyle="1" w:styleId="bullet2">
    <w:name w:val="bullet 2"/>
    <w:basedOn w:val="Normal"/>
    <w:uiPriority w:val="2"/>
    <w:qFormat/>
    <w:rsid w:val="00B75A71"/>
    <w:pPr>
      <w:numPr>
        <w:ilvl w:val="1"/>
        <w:numId w:val="2"/>
      </w:numPr>
      <w:spacing w:after="120"/>
      <w:ind w:left="620" w:hanging="274"/>
      <w:contextualSpacing/>
    </w:pPr>
    <w:rPr>
      <w:rFonts w:asciiTheme="minorHAnsi" w:eastAsiaTheme="minorEastAsia" w:hAnsiTheme="minorHAnsi" w:cstheme="minorBidi"/>
      <w:sz w:val="18"/>
      <w:szCs w:val="20"/>
      <w:lang w:val="en-GB"/>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eastAsiaTheme="minorEastAsia" w:hAnsiTheme="majorHAnsi" w:cstheme="majorHAnsi"/>
      <w:bCs/>
      <w:noProof/>
      <w:color w:val="001432" w:themeColor="text1"/>
      <w:sz w:val="20"/>
      <w:u w:color="001432"/>
      <w:lang w:val="en-GB"/>
    </w:rPr>
  </w:style>
  <w:style w:type="paragraph" w:styleId="TOC2">
    <w:name w:val="toc 2"/>
    <w:basedOn w:val="Normal"/>
    <w:next w:val="Normal"/>
    <w:autoRedefine/>
    <w:uiPriority w:val="39"/>
    <w:unhideWhenUsed/>
    <w:rsid w:val="00E56020"/>
    <w:pPr>
      <w:tabs>
        <w:tab w:val="right" w:pos="9017"/>
      </w:tabs>
      <w:spacing w:after="60"/>
    </w:pPr>
    <w:rPr>
      <w:rFonts w:asciiTheme="minorHAnsi" w:eastAsiaTheme="minorEastAsia" w:hAnsiTheme="minorHAnsi" w:cstheme="minorHAnsi"/>
      <w:bCs/>
      <w:noProof/>
      <w:color w:val="62808E" w:themeColor="accent3" w:themeShade="BF"/>
      <w:sz w:val="20"/>
      <w:szCs w:val="20"/>
      <w:lang w:val="en-GB"/>
    </w:rPr>
  </w:style>
  <w:style w:type="paragraph" w:styleId="TOC3">
    <w:name w:val="toc 3"/>
    <w:basedOn w:val="Normal"/>
    <w:next w:val="Normal"/>
    <w:autoRedefine/>
    <w:uiPriority w:val="39"/>
    <w:unhideWhenUsed/>
    <w:rsid w:val="00E56020"/>
    <w:pPr>
      <w:tabs>
        <w:tab w:val="right" w:pos="9017"/>
      </w:tabs>
      <w:spacing w:after="60"/>
      <w:ind w:left="284"/>
    </w:pPr>
    <w:rPr>
      <w:rFonts w:asciiTheme="minorHAnsi" w:eastAsiaTheme="minorEastAsia" w:hAnsiTheme="minorHAnsi" w:cstheme="minorHAnsi"/>
      <w:noProof/>
      <w:color w:val="62808E" w:themeColor="accent3" w:themeShade="BF"/>
      <w:sz w:val="20"/>
      <w:szCs w:val="20"/>
      <w:lang w:val="en-GB"/>
    </w:rPr>
  </w:style>
  <w:style w:type="paragraph" w:styleId="TOC4">
    <w:name w:val="toc 4"/>
    <w:basedOn w:val="Normal"/>
    <w:next w:val="Normal"/>
    <w:autoRedefine/>
    <w:uiPriority w:val="39"/>
    <w:unhideWhenUsed/>
    <w:rsid w:val="00E56020"/>
    <w:pPr>
      <w:tabs>
        <w:tab w:val="right" w:pos="9017"/>
      </w:tabs>
      <w:spacing w:after="120"/>
      <w:ind w:left="400"/>
    </w:pPr>
    <w:rPr>
      <w:rFonts w:asciiTheme="minorHAnsi" w:eastAsiaTheme="minorEastAsia" w:hAnsiTheme="minorHAnsi" w:cstheme="minorHAnsi"/>
      <w:noProof/>
      <w:color w:val="42555F" w:themeColor="accent3" w:themeShade="80"/>
      <w:sz w:val="20"/>
      <w:szCs w:val="20"/>
      <w:lang w:val="en-GB"/>
    </w:rPr>
  </w:style>
  <w:style w:type="paragraph" w:styleId="TOC5">
    <w:name w:val="toc 5"/>
    <w:basedOn w:val="Normal"/>
    <w:next w:val="Normal"/>
    <w:autoRedefine/>
    <w:uiPriority w:val="39"/>
    <w:unhideWhenUsed/>
    <w:rsid w:val="00921068"/>
    <w:pPr>
      <w:spacing w:after="120"/>
      <w:ind w:left="600"/>
    </w:pPr>
    <w:rPr>
      <w:rFonts w:asciiTheme="minorHAnsi" w:eastAsiaTheme="minorEastAsia" w:hAnsiTheme="minorHAnsi" w:cstheme="minorHAnsi"/>
      <w:sz w:val="20"/>
      <w:szCs w:val="20"/>
      <w:lang w:val="en-GB"/>
    </w:rPr>
  </w:style>
  <w:style w:type="paragraph" w:styleId="TOC6">
    <w:name w:val="toc 6"/>
    <w:basedOn w:val="Normal"/>
    <w:next w:val="Normal"/>
    <w:autoRedefine/>
    <w:uiPriority w:val="39"/>
    <w:unhideWhenUsed/>
    <w:rsid w:val="00921068"/>
    <w:pPr>
      <w:spacing w:after="120"/>
      <w:ind w:left="800"/>
    </w:pPr>
    <w:rPr>
      <w:rFonts w:asciiTheme="minorHAnsi" w:eastAsiaTheme="minorEastAsia" w:hAnsiTheme="minorHAnsi" w:cstheme="minorHAnsi"/>
      <w:sz w:val="20"/>
      <w:szCs w:val="20"/>
      <w:lang w:val="en-GB"/>
    </w:rPr>
  </w:style>
  <w:style w:type="paragraph" w:styleId="TOC7">
    <w:name w:val="toc 7"/>
    <w:basedOn w:val="Normal"/>
    <w:next w:val="Normal"/>
    <w:autoRedefine/>
    <w:uiPriority w:val="39"/>
    <w:unhideWhenUsed/>
    <w:rsid w:val="00921068"/>
    <w:pPr>
      <w:spacing w:after="120"/>
      <w:ind w:left="1000"/>
    </w:pPr>
    <w:rPr>
      <w:rFonts w:asciiTheme="minorHAnsi" w:eastAsiaTheme="minorEastAsia" w:hAnsiTheme="minorHAnsi" w:cstheme="minorHAnsi"/>
      <w:sz w:val="20"/>
      <w:szCs w:val="20"/>
      <w:lang w:val="en-GB"/>
    </w:rPr>
  </w:style>
  <w:style w:type="paragraph" w:styleId="TOC8">
    <w:name w:val="toc 8"/>
    <w:basedOn w:val="Normal"/>
    <w:next w:val="Normal"/>
    <w:autoRedefine/>
    <w:uiPriority w:val="39"/>
    <w:unhideWhenUsed/>
    <w:rsid w:val="00921068"/>
    <w:pPr>
      <w:spacing w:after="120"/>
      <w:ind w:left="1200"/>
    </w:pPr>
    <w:rPr>
      <w:rFonts w:asciiTheme="minorHAnsi" w:eastAsiaTheme="minorEastAsia" w:hAnsiTheme="minorHAnsi" w:cstheme="minorHAnsi"/>
      <w:sz w:val="20"/>
      <w:szCs w:val="20"/>
      <w:lang w:val="en-GB"/>
    </w:rPr>
  </w:style>
  <w:style w:type="paragraph" w:styleId="TOC9">
    <w:name w:val="toc 9"/>
    <w:basedOn w:val="Normal"/>
    <w:next w:val="Normal"/>
    <w:autoRedefine/>
    <w:uiPriority w:val="39"/>
    <w:unhideWhenUsed/>
    <w:rsid w:val="00921068"/>
    <w:pPr>
      <w:spacing w:after="120"/>
      <w:ind w:left="1400"/>
    </w:pPr>
    <w:rPr>
      <w:rFonts w:asciiTheme="minorHAnsi" w:eastAsiaTheme="minorEastAsia" w:hAnsiTheme="minorHAnsi" w:cstheme="minorHAnsi"/>
      <w:sz w:val="20"/>
      <w:szCs w:val="20"/>
      <w:lang w:val="en-GB"/>
    </w:rPr>
  </w:style>
  <w:style w:type="paragraph" w:styleId="NormalWeb">
    <w:name w:val="Normal (Web)"/>
    <w:basedOn w:val="Normal"/>
    <w:uiPriority w:val="99"/>
    <w:unhideWhenUsed/>
    <w:rsid w:val="00985ECC"/>
    <w:pPr>
      <w:spacing w:before="100" w:beforeAutospacing="1" w:after="100" w:afterAutospacing="1"/>
    </w:pPr>
    <w:rPr>
      <w:rFonts w:eastAsiaTheme="minorEastAsia"/>
      <w:lang w:val="en-GB"/>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szCs w:val="20"/>
      <w:lang w:val="en-GB"/>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pPr>
    <w:rPr>
      <w:rFonts w:asciiTheme="minorHAnsi" w:eastAsiaTheme="minorEastAsia" w:hAnsiTheme="minorHAnsi" w:cstheme="minorBidi"/>
      <w:color w:val="7962CE" w:themeColor="accent1"/>
      <w:szCs w:val="20"/>
      <w:lang w:val="en-GB"/>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contextualSpacing/>
    </w:pPr>
    <w:rPr>
      <w:rFonts w:asciiTheme="minorHAnsi" w:eastAsiaTheme="minorEastAsia" w:hAnsiTheme="minorHAnsi" w:cstheme="minorBidi"/>
      <w:sz w:val="20"/>
      <w:szCs w:val="20"/>
      <w:lang w:val="en-GB"/>
    </w:rPr>
  </w:style>
  <w:style w:type="paragraph" w:styleId="NoSpacing">
    <w:name w:val="No Spacing"/>
    <w:basedOn w:val="Normal"/>
    <w:link w:val="NoSpacingChar"/>
    <w:uiPriority w:val="25"/>
    <w:qFormat/>
    <w:rsid w:val="002F2072"/>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hmad.ibrahim@ihcua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1 6 " ? > < p r o p e r t i e s   x m l n s = " h t t p : / / w w w . i m a n a g e . c o m / w o r k / x m l s c h e m a " >  
     < d o c u m e n t i d > A C T I V E ! 2 8 2 1 5 1 8 . 1 < / d o c u m e n t i d >  
     < s e n d e r i d > J Q U I N T E R O < / s e n d e r i d >  
     < s e n d e r e m a i l > J Q U I N T E R O @ G O M E Z P I N Z O N . C O M < / s e n d e r e m a i l >  
     < l a s t m o d i f i e d > 2 0 2 2 - 1 0 - 1 9 T 1 2 : 1 2 : 0 0 . 0 0 0 0 0 0 0 - 0 5 : 0 0 < / l a s t m o d i f i e d >  
     < d a t a b a s e > A C T I V E < / d a t a b a s e >  
 < / 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customXml/itemProps4.xml><?xml version="1.0" encoding="utf-8"?>
<ds:datastoreItem xmlns:ds="http://schemas.openxmlformats.org/officeDocument/2006/customXml" ds:itemID="{B4D3EEF8-7202-4B4E-8B38-1DFE8FD4986C}">
  <ds:schemaRefs>
    <ds:schemaRef ds:uri="http://www.imanage.com/work/xmlschema"/>
  </ds:schemaRefs>
</ds:datastoreItem>
</file>

<file path=customXml/itemProps5.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2</cp:revision>
  <cp:lastPrinted>2022-11-08T13:15:00Z</cp:lastPrinted>
  <dcterms:created xsi:type="dcterms:W3CDTF">2022-11-08T13:21:00Z</dcterms:created>
  <dcterms:modified xsi:type="dcterms:W3CDTF">2022-11-08T13:21:00Z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GP-2821518.v1</vt:lpwstr>
  </property>
  <property fmtid="{D5CDD505-2E9C-101B-9397-08002B2CF9AE}" pid="3" name="MSIP_Label_e1da0be8-9b43-41b6-9549-69b8e68dc6f8_ActionId">
    <vt:lpwstr>05e2a490-3105-4607-8173-17ce26e84e38</vt:lpwstr>
  </property>
  <property fmtid="{D5CDD505-2E9C-101B-9397-08002B2CF9AE}" pid="4" name="MSIP_Label_e1da0be8-9b43-41b6-9549-69b8e68dc6f8_ContentBits">
    <vt:lpwstr>0</vt:lpwstr>
  </property>
  <property fmtid="{D5CDD505-2E9C-101B-9397-08002B2CF9AE}" pid="5" name="MSIP_Label_e1da0be8-9b43-41b6-9549-69b8e68dc6f8_Enabled">
    <vt:lpwstr>true</vt:lpwstr>
  </property>
  <property fmtid="{D5CDD505-2E9C-101B-9397-08002B2CF9AE}" pid="6" name="MSIP_Label_e1da0be8-9b43-41b6-9549-69b8e68dc6f8_Method">
    <vt:lpwstr>Standard</vt:lpwstr>
  </property>
  <property fmtid="{D5CDD505-2E9C-101B-9397-08002B2CF9AE}" pid="7" name="MSIP_Label_e1da0be8-9b43-41b6-9549-69b8e68dc6f8_Name">
    <vt:lpwstr>Public</vt:lpwstr>
  </property>
  <property fmtid="{D5CDD505-2E9C-101B-9397-08002B2CF9AE}" pid="8" name="MSIP_Label_e1da0be8-9b43-41b6-9549-69b8e68dc6f8_SetDate">
    <vt:lpwstr>2022-08-08T05:24:47Z</vt:lpwstr>
  </property>
  <property fmtid="{D5CDD505-2E9C-101B-9397-08002B2CF9AE}" pid="9" name="MSIP_Label_e1da0be8-9b43-41b6-9549-69b8e68dc6f8_SiteId">
    <vt:lpwstr>266f8c24-cc05-41b8-b635-ffaf4ee49853</vt:lpwstr>
  </property>
</Properties>
</file>