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90" w:rsidRDefault="00494954" w:rsidP="00494954">
      <w:pPr>
        <w:spacing w:after="0"/>
        <w:jc w:val="both"/>
      </w:pPr>
      <w:r w:rsidRPr="00D61090">
        <w:rPr>
          <w:rFonts w:asciiTheme="majorHAnsi" w:hAnsiTheme="majorHAnsi" w:cstheme="majorHAnsi"/>
          <w:sz w:val="36"/>
          <w:szCs w:val="36"/>
        </w:rPr>
        <w:t xml:space="preserve">International Holding Company </w:t>
      </w:r>
      <w:bookmarkStart w:id="0" w:name="_GoBack"/>
      <w:bookmarkEnd w:id="0"/>
      <w:r w:rsidRPr="00D61090">
        <w:rPr>
          <w:rFonts w:asciiTheme="majorHAnsi" w:hAnsiTheme="majorHAnsi" w:cstheme="majorHAnsi"/>
          <w:sz w:val="36"/>
          <w:szCs w:val="36"/>
        </w:rPr>
        <w:t>(IHC) to list three subsidiaries on Abu Dhabi Securities Exchange (ADX) Second Market in Q2 2021</w:t>
      </w:r>
      <w:r>
        <w:t xml:space="preserve"> </w:t>
      </w:r>
    </w:p>
    <w:p w:rsidR="00D61090" w:rsidRDefault="00D61090" w:rsidP="00494954">
      <w:pPr>
        <w:spacing w:after="0"/>
        <w:jc w:val="both"/>
      </w:pPr>
    </w:p>
    <w:p w:rsidR="00D61090" w:rsidRDefault="00494954" w:rsidP="00494954">
      <w:pPr>
        <w:spacing w:after="0"/>
        <w:jc w:val="both"/>
      </w:pPr>
      <w:r>
        <w:t xml:space="preserve">- Emirates Stallion Group and Al Seer Marine to list on ADX’s Second Market. </w:t>
      </w:r>
    </w:p>
    <w:p w:rsidR="00D61090" w:rsidRDefault="00494954" w:rsidP="00494954">
      <w:pPr>
        <w:spacing w:after="0"/>
        <w:jc w:val="both"/>
      </w:pPr>
      <w:r>
        <w:t xml:space="preserve">- The third subsidiary to be named in coming weeks. </w:t>
      </w:r>
    </w:p>
    <w:p w:rsidR="00D61090" w:rsidRDefault="00494954" w:rsidP="00494954">
      <w:pPr>
        <w:spacing w:after="0"/>
        <w:jc w:val="both"/>
      </w:pPr>
      <w:r>
        <w:t xml:space="preserve">- Listing to commence in Q2 2021. </w:t>
      </w:r>
    </w:p>
    <w:p w:rsidR="00D61090" w:rsidRDefault="00494954" w:rsidP="00494954">
      <w:pPr>
        <w:spacing w:after="0"/>
        <w:jc w:val="both"/>
      </w:pPr>
      <w:r>
        <w:t xml:space="preserve">- Investors will have chance to purchase shares in three growth companies. </w:t>
      </w:r>
    </w:p>
    <w:p w:rsidR="00D61090" w:rsidRDefault="00D61090" w:rsidP="00494954">
      <w:pPr>
        <w:spacing w:after="0"/>
        <w:jc w:val="both"/>
      </w:pPr>
    </w:p>
    <w:p w:rsidR="00D61090" w:rsidRDefault="00494954" w:rsidP="00494954">
      <w:pPr>
        <w:spacing w:after="0"/>
        <w:jc w:val="both"/>
      </w:pPr>
      <w:r w:rsidRPr="00D61090">
        <w:rPr>
          <w:b/>
          <w:bCs/>
        </w:rPr>
        <w:t>Abu Dhabi, 7 May 2021:</w:t>
      </w:r>
      <w:r>
        <w:t xml:space="preserve"> Three subsidiaries of Abu Dhabi Securities Exchange (ADX) listed International Holding Company (IHC) will be listed on the exchange’s Second Market commencing in Q2 2021. The listing will create an attractive opportunity for current and new investors to take part in the growth of the companies, as well as benefitting IHC as a result of increased profile raising and higher visibility from these companies. </w:t>
      </w:r>
    </w:p>
    <w:p w:rsidR="00D61090" w:rsidRDefault="00D61090" w:rsidP="00494954">
      <w:pPr>
        <w:spacing w:after="0"/>
        <w:jc w:val="both"/>
      </w:pPr>
    </w:p>
    <w:p w:rsidR="00D61090" w:rsidRPr="00D61090" w:rsidRDefault="00494954" w:rsidP="00494954">
      <w:pPr>
        <w:spacing w:after="0"/>
        <w:jc w:val="both"/>
        <w:rPr>
          <w:b/>
          <w:bCs/>
        </w:rPr>
      </w:pPr>
      <w:r w:rsidRPr="00D61090">
        <w:rPr>
          <w:b/>
          <w:bCs/>
        </w:rPr>
        <w:t xml:space="preserve">Emirates Stallion Group </w:t>
      </w:r>
    </w:p>
    <w:p w:rsidR="00D61090" w:rsidRDefault="00D61090" w:rsidP="00494954">
      <w:pPr>
        <w:spacing w:after="0"/>
        <w:jc w:val="both"/>
      </w:pPr>
    </w:p>
    <w:p w:rsidR="00D61090" w:rsidRDefault="00494954" w:rsidP="00494954">
      <w:pPr>
        <w:spacing w:after="0"/>
        <w:jc w:val="both"/>
      </w:pPr>
      <w:r>
        <w:t xml:space="preserve">Emirates Stallion Group is one of IHC’s subsidiaries and has a diversified portfolio of businesses across engineering and construction, development and management of real estate and public realms and associated services. Ever since its inception in 2006, ESG has grown rapidly becoming the region’s only all-encompassing real estate partner. ESG is home to 5 fully owned subsidiaries, 90+ operational sites, 12 marketplace presence and 4 associates and joint ventures. The subsidiaries include Century Real Estate, Royal Development Company, Abu Dhabi Land General Contracting, Gulf Dunes Landscaping and Agricultural services and RAPM Architect Project Management. The company has assets of AED 394 million as of the end of 2020 and over 1000 employees. </w:t>
      </w:r>
    </w:p>
    <w:p w:rsidR="00D61090" w:rsidRDefault="00D61090" w:rsidP="00494954">
      <w:pPr>
        <w:spacing w:after="0"/>
        <w:jc w:val="both"/>
      </w:pPr>
    </w:p>
    <w:p w:rsidR="00D61090" w:rsidRPr="00D61090" w:rsidRDefault="00494954" w:rsidP="00494954">
      <w:pPr>
        <w:spacing w:after="0"/>
        <w:jc w:val="both"/>
        <w:rPr>
          <w:b/>
          <w:bCs/>
        </w:rPr>
      </w:pPr>
      <w:r w:rsidRPr="00D61090">
        <w:rPr>
          <w:b/>
          <w:bCs/>
        </w:rPr>
        <w:t xml:space="preserve">Al Seer Marine </w:t>
      </w:r>
    </w:p>
    <w:p w:rsidR="00D61090" w:rsidRDefault="00D61090" w:rsidP="00494954">
      <w:pPr>
        <w:spacing w:after="0"/>
        <w:jc w:val="both"/>
      </w:pPr>
    </w:p>
    <w:p w:rsidR="007B264D" w:rsidRDefault="00494954" w:rsidP="00D61090">
      <w:pPr>
        <w:spacing w:after="0"/>
        <w:jc w:val="both"/>
      </w:pPr>
      <w:r>
        <w:t xml:space="preserve">One of the three companies to list is Al Seer Marine, a leading marine organisation in the Arabian maritime region, with an all-encompassing portfolio of products and services. The company engages in multiple marine sectors such as high-tech boatbuilding, unmanned systems development and manufacturing, Al Seer Marine Training Institute (ASMTI) for product training, maintenance and support services, supply logistics, 24x7 yacht management and project management. Founded in 2002, Al Seer Marine has assets of AED 717.8 million as at the end of 2020. </w:t>
      </w:r>
    </w:p>
    <w:p w:rsidR="00D61090" w:rsidRDefault="00D61090" w:rsidP="00D61090">
      <w:pPr>
        <w:spacing w:after="0"/>
        <w:jc w:val="both"/>
      </w:pPr>
    </w:p>
    <w:p w:rsidR="007B264D" w:rsidRDefault="00494954" w:rsidP="00494954">
      <w:pPr>
        <w:spacing w:after="0"/>
        <w:jc w:val="both"/>
      </w:pPr>
      <w:r w:rsidRPr="00D61090">
        <w:rPr>
          <w:b/>
          <w:bCs/>
        </w:rPr>
        <w:t xml:space="preserve">Syed </w:t>
      </w:r>
      <w:proofErr w:type="spellStart"/>
      <w:r w:rsidRPr="00D61090">
        <w:rPr>
          <w:b/>
          <w:bCs/>
        </w:rPr>
        <w:t>Basar</w:t>
      </w:r>
      <w:proofErr w:type="spellEnd"/>
      <w:r w:rsidRPr="00D61090">
        <w:rPr>
          <w:b/>
          <w:bCs/>
        </w:rPr>
        <w:t xml:space="preserve"> </w:t>
      </w:r>
      <w:proofErr w:type="spellStart"/>
      <w:r w:rsidRPr="00D61090">
        <w:rPr>
          <w:b/>
          <w:bCs/>
        </w:rPr>
        <w:t>Shueb</w:t>
      </w:r>
      <w:proofErr w:type="spellEnd"/>
      <w:r w:rsidRPr="00D61090">
        <w:rPr>
          <w:b/>
          <w:bCs/>
        </w:rPr>
        <w:t>, CEO and Managing Director of IHC, said:</w:t>
      </w:r>
      <w:r>
        <w:t xml:space="preserve"> “IHC has continued to grow becoming the second-biggest company by value on the Abu Dhabi Securities exchange. We will continue to enrich our diversified portfolio with strong companies that are in line with our growth strategy and goals. We believe in local product and many of our fastest growing companies are </w:t>
      </w:r>
      <w:proofErr w:type="spellStart"/>
      <w:r>
        <w:t>homegrown</w:t>
      </w:r>
      <w:proofErr w:type="spellEnd"/>
      <w:r>
        <w:t xml:space="preserve"> in the UAE. Emirates Stallion Group and Al Seer Marine are ambitious companies that have continued to expand in recent years. Listing on ADX’ Second Market, will offer investors an outstanding opportunity to participate in these well-established companies’ success journey.” </w:t>
      </w:r>
    </w:p>
    <w:p w:rsidR="007B264D" w:rsidRDefault="007B264D" w:rsidP="00494954">
      <w:pPr>
        <w:spacing w:after="0"/>
        <w:jc w:val="both"/>
      </w:pPr>
    </w:p>
    <w:p w:rsidR="007B264D" w:rsidRDefault="00494954" w:rsidP="00494954">
      <w:pPr>
        <w:spacing w:after="0"/>
        <w:jc w:val="both"/>
      </w:pPr>
      <w:r>
        <w:t xml:space="preserve">These listings will follow the three successful listings that IHC completed in 2020 of Palm Sports, </w:t>
      </w:r>
      <w:proofErr w:type="spellStart"/>
      <w:r>
        <w:t>Easylease</w:t>
      </w:r>
      <w:proofErr w:type="spellEnd"/>
      <w:r>
        <w:t xml:space="preserve"> and Zee Stores on ADX’s second market. </w:t>
      </w:r>
    </w:p>
    <w:p w:rsidR="007B264D" w:rsidRDefault="007B264D" w:rsidP="00494954">
      <w:pPr>
        <w:spacing w:after="0"/>
        <w:jc w:val="both"/>
      </w:pPr>
    </w:p>
    <w:p w:rsidR="00E1588C" w:rsidRDefault="00494954" w:rsidP="00494954">
      <w:pPr>
        <w:spacing w:after="0"/>
        <w:jc w:val="both"/>
      </w:pPr>
      <w:r>
        <w:t xml:space="preserve">Over the last six months, IHC and its subsidiaries announced the pre-launch of the UAE’s first virtual wellness and prevention platform </w:t>
      </w:r>
      <w:proofErr w:type="spellStart"/>
      <w:r>
        <w:t>HealthyU</w:t>
      </w:r>
      <w:proofErr w:type="spellEnd"/>
      <w:r>
        <w:t xml:space="preserve">, investments in UK-based DNA sequencing firm Oxford </w:t>
      </w:r>
      <w:proofErr w:type="spellStart"/>
      <w:r>
        <w:t>Nanopore</w:t>
      </w:r>
      <w:proofErr w:type="spellEnd"/>
      <w:r>
        <w:t xml:space="preserve"> Technologies, Quantlase Lab and </w:t>
      </w:r>
      <w:proofErr w:type="spellStart"/>
      <w:r>
        <w:t>Tamouh</w:t>
      </w:r>
      <w:proofErr w:type="spellEnd"/>
      <w:r>
        <w:t xml:space="preserve"> Healthcare, which recently developed the concept of Containerized Aid for Respiratory Emergencies (CARE), turning modular containers into fully equipped medical field hospitals such as – Sheikh Mohammed Bin </w:t>
      </w:r>
      <w:proofErr w:type="spellStart"/>
      <w:r>
        <w:t>Zayed</w:t>
      </w:r>
      <w:proofErr w:type="spellEnd"/>
      <w:r>
        <w:t xml:space="preserve"> Field Hospital – was completed in early March near Darfur, Sudan. In 2020, IHC and its subsidiaries have announced several new investments. These include a stake in </w:t>
      </w:r>
      <w:proofErr w:type="spellStart"/>
      <w:r>
        <w:t>SpaceX</w:t>
      </w:r>
      <w:proofErr w:type="spellEnd"/>
      <w:r>
        <w:t xml:space="preserve">, Elon Musk’s aerospace company; Oxford </w:t>
      </w:r>
      <w:proofErr w:type="spellStart"/>
      <w:r>
        <w:t>Nanopore</w:t>
      </w:r>
      <w:proofErr w:type="spellEnd"/>
      <w:r>
        <w:t xml:space="preserve">, a high-tech UK SME with an innovative COVID-19 testing product; a partnership with DAL Group for a significant agricultural development in Sudan; and </w:t>
      </w:r>
      <w:proofErr w:type="spellStart"/>
      <w:r>
        <w:t>Multiply’s</w:t>
      </w:r>
      <w:proofErr w:type="spellEnd"/>
      <w:r>
        <w:t xml:space="preserve"> acquisition of a stake in New York data-driven marketing firm </w:t>
      </w:r>
      <w:proofErr w:type="spellStart"/>
      <w:r>
        <w:t>YieldMo</w:t>
      </w:r>
      <w:proofErr w:type="spellEnd"/>
      <w:r>
        <w:t>.</w:t>
      </w:r>
    </w:p>
    <w:p w:rsidR="00E1588C" w:rsidRDefault="00E1588C" w:rsidP="000151ED">
      <w:pPr>
        <w:spacing w:after="160" w:line="259" w:lineRule="auto"/>
      </w:pPr>
    </w:p>
    <w:sectPr w:rsidR="00E15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77"/>
    <w:rsid w:val="000151ED"/>
    <w:rsid w:val="0014518D"/>
    <w:rsid w:val="0015747D"/>
    <w:rsid w:val="0017513B"/>
    <w:rsid w:val="001E1F65"/>
    <w:rsid w:val="003925CA"/>
    <w:rsid w:val="003A6549"/>
    <w:rsid w:val="00494954"/>
    <w:rsid w:val="00515ECA"/>
    <w:rsid w:val="007B264D"/>
    <w:rsid w:val="00BB641D"/>
    <w:rsid w:val="00C11864"/>
    <w:rsid w:val="00CF171A"/>
    <w:rsid w:val="00D04D1D"/>
    <w:rsid w:val="00D50A29"/>
    <w:rsid w:val="00D61090"/>
    <w:rsid w:val="00D65869"/>
    <w:rsid w:val="00D71DED"/>
    <w:rsid w:val="00E1588C"/>
    <w:rsid w:val="00E747DB"/>
    <w:rsid w:val="00EA1646"/>
    <w:rsid w:val="00F21677"/>
    <w:rsid w:val="00F7729D"/>
    <w:rsid w:val="00F87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503A"/>
  <w15:chartTrackingRefBased/>
  <w15:docId w15:val="{99883C7D-83C6-4752-9E4A-31AF10E0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6DE"/>
    <w:pPr>
      <w:spacing w:after="120" w:line="240" w:lineRule="auto"/>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6DE"/>
    <w:pPr>
      <w:spacing w:before="100" w:beforeAutospacing="1" w:after="100" w:afterAutospacing="1"/>
    </w:pPr>
    <w:rPr>
      <w:rFonts w:ascii="Times New Roman" w:eastAsiaTheme="minorEastAsia" w:hAnsi="Times New Roman" w:cs="Times New Roman"/>
      <w:sz w:val="24"/>
      <w:szCs w:val="24"/>
    </w:rPr>
  </w:style>
  <w:style w:type="paragraph" w:customStyle="1" w:styleId="Bullets1">
    <w:name w:val="Bullets 1"/>
    <w:basedOn w:val="Normal"/>
    <w:uiPriority w:val="1"/>
    <w:qFormat/>
    <w:rsid w:val="00F876DE"/>
    <w:pPr>
      <w:numPr>
        <w:numId w:val="1"/>
      </w:numPr>
      <w:spacing w:after="60"/>
      <w:ind w:left="22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2021-06-03T06:09:00Z</dcterms:created>
  <dcterms:modified xsi:type="dcterms:W3CDTF">2021-06-03T10:05:00Z</dcterms:modified>
</cp:coreProperties>
</file>